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3A51" w:rsidP="00B63AB7" w:rsidRDefault="00B63AB7" w14:paraId="2DFC1457" w14:textId="1C82CC50">
      <w:pPr>
        <w:spacing w:after="0"/>
        <w:jc w:val="center"/>
        <w:rPr>
          <w:b/>
          <w:sz w:val="30"/>
          <w:szCs w:val="30"/>
        </w:rPr>
      </w:pPr>
      <w:bookmarkStart w:name="_Hlk43981934" w:id="0"/>
      <w:r>
        <w:rPr>
          <w:b/>
          <w:sz w:val="30"/>
          <w:szCs w:val="30"/>
        </w:rPr>
        <w:t>Evaluation of proposed national program COVID-19 mitigation SOPs</w:t>
      </w:r>
      <w:r w:rsidR="00FC35E9">
        <w:rPr>
          <w:b/>
          <w:sz w:val="30"/>
          <w:szCs w:val="30"/>
        </w:rPr>
        <w:t xml:space="preserve"> for </w:t>
      </w:r>
      <w:r w:rsidR="006F3366">
        <w:rPr>
          <w:b/>
          <w:sz w:val="30"/>
          <w:szCs w:val="30"/>
        </w:rPr>
        <w:t>undertaking surveys</w:t>
      </w:r>
      <w:r>
        <w:rPr>
          <w:b/>
          <w:sz w:val="30"/>
          <w:szCs w:val="30"/>
        </w:rPr>
        <w:t xml:space="preserve">  </w:t>
      </w:r>
      <w:bookmarkEnd w:id="0"/>
    </w:p>
    <w:p w:rsidR="00B63AB7" w:rsidP="00B63AB7" w:rsidRDefault="00B63AB7" w14:paraId="4E862761" w14:textId="0BA18AC9">
      <w:pPr>
        <w:spacing w:after="0"/>
        <w:rPr>
          <w:b/>
          <w:sz w:val="30"/>
          <w:szCs w:val="30"/>
        </w:rPr>
      </w:pPr>
    </w:p>
    <w:p w:rsidRPr="006F3366" w:rsidR="00B63AB7" w:rsidP="00B63AB7" w:rsidRDefault="00B63AB7" w14:paraId="4F55ECA1" w14:textId="3595E85E">
      <w:pPr>
        <w:spacing w:after="0"/>
        <w:rPr>
          <w:bCs/>
          <w:sz w:val="30"/>
          <w:szCs w:val="30"/>
        </w:rPr>
      </w:pPr>
      <w:r w:rsidRPr="006F3366">
        <w:rPr>
          <w:bCs/>
          <w:sz w:val="30"/>
          <w:szCs w:val="30"/>
        </w:rPr>
        <w:t>Evaluator:</w:t>
      </w:r>
      <w:r w:rsidR="005F0EDB">
        <w:rPr>
          <w:bCs/>
          <w:sz w:val="30"/>
          <w:szCs w:val="30"/>
        </w:rPr>
        <w:t xml:space="preserve"> </w:t>
      </w:r>
    </w:p>
    <w:p w:rsidRPr="006F3366" w:rsidR="00B63AB7" w:rsidP="00B63AB7" w:rsidRDefault="00B63AB7" w14:paraId="1B633042" w14:textId="53004087">
      <w:pPr>
        <w:spacing w:after="0"/>
        <w:rPr>
          <w:bCs/>
          <w:sz w:val="30"/>
          <w:szCs w:val="30"/>
        </w:rPr>
      </w:pPr>
      <w:r w:rsidRPr="006F3366">
        <w:rPr>
          <w:bCs/>
          <w:sz w:val="30"/>
          <w:szCs w:val="30"/>
        </w:rPr>
        <w:t>Date:</w:t>
      </w:r>
      <w:r w:rsidR="005F0EDB">
        <w:rPr>
          <w:bCs/>
          <w:sz w:val="30"/>
          <w:szCs w:val="30"/>
        </w:rPr>
        <w:t xml:space="preserve">  </w:t>
      </w:r>
    </w:p>
    <w:p w:rsidR="00B63AB7" w:rsidP="00B63AB7" w:rsidRDefault="00B63AB7" w14:paraId="09C127A6" w14:textId="7CCFAABE">
      <w:pPr>
        <w:spacing w:after="0"/>
        <w:rPr>
          <w:bCs/>
          <w:sz w:val="30"/>
          <w:szCs w:val="30"/>
        </w:rPr>
      </w:pPr>
      <w:r w:rsidRPr="006F3366">
        <w:rPr>
          <w:bCs/>
          <w:sz w:val="30"/>
          <w:szCs w:val="30"/>
        </w:rPr>
        <w:t>Country:</w:t>
      </w:r>
      <w:r w:rsidR="005F0EDB">
        <w:rPr>
          <w:bCs/>
          <w:sz w:val="30"/>
          <w:szCs w:val="30"/>
        </w:rPr>
        <w:t xml:space="preserve"> </w:t>
      </w:r>
    </w:p>
    <w:p w:rsidRPr="006F3366" w:rsidR="00EF576C" w:rsidP="00B63AB7" w:rsidRDefault="00EF576C" w14:paraId="45D62738" w14:textId="500547E1">
      <w:pPr>
        <w:spacing w:after="0"/>
        <w:rPr>
          <w:bCs/>
          <w:sz w:val="30"/>
          <w:szCs w:val="30"/>
        </w:rPr>
      </w:pPr>
      <w:r>
        <w:rPr>
          <w:bCs/>
          <w:sz w:val="30"/>
          <w:szCs w:val="30"/>
        </w:rPr>
        <w:t>Disease:</w:t>
      </w:r>
    </w:p>
    <w:p w:rsidRPr="006F3366" w:rsidR="00FC35E9" w:rsidP="00B63AB7" w:rsidRDefault="00B63AB7" w14:paraId="6D534F6A" w14:textId="7C74730D">
      <w:pPr>
        <w:spacing w:after="0"/>
        <w:rPr>
          <w:bCs/>
          <w:sz w:val="30"/>
          <w:szCs w:val="30"/>
        </w:rPr>
      </w:pPr>
      <w:r w:rsidRPr="006F3366">
        <w:rPr>
          <w:bCs/>
          <w:sz w:val="30"/>
          <w:szCs w:val="30"/>
        </w:rPr>
        <w:t>SOP document</w:t>
      </w:r>
      <w:r w:rsidRPr="006F3366" w:rsidR="00FC35E9">
        <w:rPr>
          <w:bCs/>
          <w:sz w:val="30"/>
          <w:szCs w:val="30"/>
        </w:rPr>
        <w:t>s reviewed:</w:t>
      </w:r>
      <w:r w:rsidR="005F0EDB">
        <w:rPr>
          <w:bCs/>
          <w:sz w:val="30"/>
          <w:szCs w:val="30"/>
        </w:rPr>
        <w:t xml:space="preserve"> </w:t>
      </w:r>
    </w:p>
    <w:p w:rsidRPr="00660C51" w:rsidR="00195169" w:rsidP="1DEBC93F" w:rsidRDefault="00195169" w14:paraId="2029DED5" w14:textId="37EBFA8F">
      <w:pPr>
        <w:rPr>
          <w:b/>
          <w:bCs/>
          <w:sz w:val="24"/>
          <w:szCs w:val="24"/>
        </w:rPr>
      </w:pPr>
    </w:p>
    <w:p w:rsidR="000063AF" w:rsidP="1DEBC93F" w:rsidRDefault="5AB8839A" w14:paraId="5A000620" w14:textId="0109853F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1DEBC93F" w:rsidR="5AB8839A">
        <w:rPr>
          <w:rFonts w:ascii="Calibri" w:hAnsi="Calibri" w:eastAsia="Calibri" w:cs="Calibri"/>
          <w:sz w:val="24"/>
          <w:szCs w:val="24"/>
        </w:rPr>
        <w:t xml:space="preserve">Mitigation measures should be implemented to decrease risk of transmission of SARS-CoV-2 in conjunction with </w:t>
      </w:r>
      <w:r w:rsidR="006F3366">
        <w:rPr>
          <w:rFonts w:ascii="Calibri" w:hAnsi="Calibri" w:eastAsia="Calibri" w:cs="Calibri"/>
          <w:sz w:val="24"/>
          <w:szCs w:val="24"/>
        </w:rPr>
        <w:t xml:space="preserve">undertaking </w:t>
      </w:r>
      <w:r w:rsidR="000063AF">
        <w:rPr>
          <w:rFonts w:ascii="Calibri" w:hAnsi="Calibri" w:eastAsia="Calibri" w:cs="Calibri"/>
          <w:sz w:val="24"/>
          <w:szCs w:val="24"/>
        </w:rPr>
        <w:t>surveys.</w:t>
      </w:r>
      <w:r w:rsidR="00FC35E9">
        <w:rPr>
          <w:rFonts w:ascii="Calibri" w:hAnsi="Calibri" w:eastAsia="Calibri" w:cs="Calibri"/>
          <w:sz w:val="24"/>
          <w:szCs w:val="24"/>
        </w:rPr>
        <w:t xml:space="preserve">  </w:t>
      </w:r>
      <w:r w:rsidR="00315E0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WHO recommends that the following areas and considerations should be captured in the standard operating procedures (SOPs) for resuming implementation of population-based surveys </w:t>
      </w:r>
      <w:r w:rsidR="00315E0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or monitoring &amp; </w:t>
      </w:r>
      <w:r w:rsidR="00315E07">
        <w:rPr>
          <w:rStyle w:val="normaltextrun"/>
          <w:rFonts w:ascii="Calibri" w:hAnsi="Calibri" w:cs="Calibri"/>
          <w:color w:val="000000"/>
          <w:shd w:val="clear" w:color="auto" w:fill="FFFFFF"/>
        </w:rPr>
        <w:t>evaluation</w:t>
      </w:r>
      <w:r w:rsidR="00315E07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:rsidR="00195169" w:rsidP="1DEBC93F" w:rsidRDefault="00195169" w14:paraId="72A1E38B" w14:textId="07AAF4F8">
      <w:pPr>
        <w:rPr>
          <w:b/>
          <w:bCs/>
          <w:sz w:val="24"/>
          <w:szCs w:val="24"/>
        </w:rPr>
      </w:pPr>
      <w:r w:rsidRPr="1DEBC93F">
        <w:rPr>
          <w:b/>
          <w:bCs/>
          <w:sz w:val="24"/>
          <w:szCs w:val="24"/>
        </w:rPr>
        <w:t xml:space="preserve">General </w:t>
      </w:r>
      <w:r w:rsidRPr="1DEBC93F" w:rsidR="009646CE">
        <w:rPr>
          <w:b/>
          <w:bCs/>
          <w:sz w:val="24"/>
          <w:szCs w:val="24"/>
        </w:rPr>
        <w:t xml:space="preserve">mitigation </w:t>
      </w:r>
      <w:r w:rsidRPr="1DEBC93F">
        <w:rPr>
          <w:b/>
          <w:bCs/>
          <w:sz w:val="24"/>
          <w:szCs w:val="24"/>
        </w:rPr>
        <w:t>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5275"/>
        <w:gridCol w:w="2001"/>
      </w:tblGrid>
      <w:tr w:rsidR="007D182D" w:rsidTr="16474749" w14:paraId="6EA17EAF" w14:textId="6A944614">
        <w:tc>
          <w:tcPr>
            <w:tcW w:w="1740" w:type="dxa"/>
            <w:tcMar/>
          </w:tcPr>
          <w:p w:rsidRPr="00B200D0" w:rsidR="007D182D" w:rsidP="00603A51" w:rsidRDefault="007D182D" w14:paraId="47A33BAA" w14:textId="77777777">
            <w:pPr>
              <w:rPr>
                <w:b/>
                <w:sz w:val="24"/>
              </w:rPr>
            </w:pPr>
            <w:r w:rsidRPr="00B200D0">
              <w:rPr>
                <w:b/>
                <w:sz w:val="24"/>
              </w:rPr>
              <w:t>Area</w:t>
            </w:r>
          </w:p>
        </w:tc>
        <w:tc>
          <w:tcPr>
            <w:tcW w:w="5275" w:type="dxa"/>
            <w:tcMar/>
          </w:tcPr>
          <w:p w:rsidRPr="00B200D0" w:rsidR="007D182D" w:rsidP="00603A51" w:rsidRDefault="007D182D" w14:paraId="5C34BF73" w14:textId="77777777">
            <w:pPr>
              <w:rPr>
                <w:b/>
                <w:sz w:val="24"/>
              </w:rPr>
            </w:pPr>
            <w:r w:rsidRPr="00B200D0">
              <w:rPr>
                <w:b/>
                <w:sz w:val="24"/>
              </w:rPr>
              <w:t>Consideration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001" w:type="dxa"/>
            <w:tcMar/>
          </w:tcPr>
          <w:p w:rsidRPr="00B200D0" w:rsidR="007D182D" w:rsidP="00603A51" w:rsidRDefault="007D182D" w14:paraId="555163A7" w14:textId="423B57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Evaluator Comment</w:t>
            </w:r>
          </w:p>
        </w:tc>
      </w:tr>
      <w:tr w:rsidR="007D182D" w:rsidTr="16474749" w14:paraId="33D8A9A6" w14:textId="2E68D735">
        <w:tc>
          <w:tcPr>
            <w:tcW w:w="1740" w:type="dxa"/>
            <w:tcMar/>
          </w:tcPr>
          <w:p w:rsidR="007D182D" w:rsidP="00603A51" w:rsidRDefault="007D182D" w14:paraId="04AA1339" w14:textId="2EBD9141">
            <w:pPr>
              <w:rPr>
                <w:sz w:val="24"/>
              </w:rPr>
            </w:pPr>
            <w:r>
              <w:rPr>
                <w:sz w:val="24"/>
              </w:rPr>
              <w:t>Infection prevention and control</w:t>
            </w:r>
          </w:p>
        </w:tc>
        <w:tc>
          <w:tcPr>
            <w:tcW w:w="5275" w:type="dxa"/>
            <w:tcMar/>
          </w:tcPr>
          <w:p w:rsidR="007D182D" w:rsidP="009C5109" w:rsidRDefault="007D182D" w14:paraId="23503FED" w14:textId="5715DA9B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 xml:space="preserve">Policies and actions applied to the SOP for the </w:t>
            </w:r>
            <w:r w:rsidR="006F3366">
              <w:rPr>
                <w:sz w:val="24"/>
              </w:rPr>
              <w:t>survey</w:t>
            </w:r>
            <w:r>
              <w:rPr>
                <w:sz w:val="24"/>
              </w:rPr>
              <w:t xml:space="preserve"> is consistent </w:t>
            </w:r>
            <w:r w:rsidRPr="009646CE">
              <w:rPr>
                <w:sz w:val="24"/>
              </w:rPr>
              <w:t xml:space="preserve">with </w:t>
            </w:r>
            <w:r>
              <w:rPr>
                <w:sz w:val="24"/>
              </w:rPr>
              <w:t xml:space="preserve">national rules and regulations and </w:t>
            </w:r>
            <w:r w:rsidRPr="009646CE">
              <w:rPr>
                <w:sz w:val="24"/>
              </w:rPr>
              <w:t>existing WHO COVID-19 guidance</w:t>
            </w:r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z w:val="24"/>
              </w:rPr>
              <w:t xml:space="preserve"> about</w:t>
            </w:r>
            <w:r w:rsidRPr="009646CE">
              <w:rPr>
                <w:sz w:val="24"/>
              </w:rPr>
              <w:t xml:space="preserve"> use of masks, hand sanitizers, </w:t>
            </w:r>
            <w:r>
              <w:rPr>
                <w:sz w:val="24"/>
              </w:rPr>
              <w:t xml:space="preserve">and </w:t>
            </w:r>
            <w:r w:rsidRPr="009646CE">
              <w:rPr>
                <w:sz w:val="24"/>
              </w:rPr>
              <w:t>hand washing</w:t>
            </w:r>
            <w:r>
              <w:rPr>
                <w:sz w:val="24"/>
              </w:rPr>
              <w:t>)</w:t>
            </w:r>
            <w:r w:rsidRPr="009C5109">
              <w:rPr>
                <w:sz w:val="24"/>
              </w:rPr>
              <w:t xml:space="preserve"> </w:t>
            </w:r>
          </w:p>
          <w:p w:rsidRPr="009C5109" w:rsidR="00FC35E9" w:rsidP="009C5109" w:rsidRDefault="00FC35E9" w14:paraId="7EC0570E" w14:textId="694F4D58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SoP</w:t>
            </w:r>
            <w:proofErr w:type="spellEnd"/>
            <w:r>
              <w:rPr>
                <w:sz w:val="24"/>
              </w:rPr>
              <w:t xml:space="preserve"> specifies national policy on the use of facial covering by </w:t>
            </w:r>
            <w:r w:rsidR="006F3366">
              <w:rPr>
                <w:sz w:val="24"/>
              </w:rPr>
              <w:t>those undertaking the surveys</w:t>
            </w:r>
            <w:r>
              <w:rPr>
                <w:sz w:val="24"/>
              </w:rPr>
              <w:t xml:space="preserve">.  </w:t>
            </w:r>
          </w:p>
        </w:tc>
        <w:tc>
          <w:tcPr>
            <w:tcW w:w="2001" w:type="dxa"/>
            <w:tcMar/>
          </w:tcPr>
          <w:p w:rsidRPr="000063AF" w:rsidR="0022248E" w:rsidP="000063AF" w:rsidRDefault="0022248E" w14:paraId="0714E86B" w14:textId="1A6EB2A9">
            <w:pPr>
              <w:rPr>
                <w:sz w:val="24"/>
              </w:rPr>
            </w:pPr>
          </w:p>
        </w:tc>
      </w:tr>
      <w:tr w:rsidR="007D182D" w:rsidTr="16474749" w14:paraId="3394F02B" w14:textId="48251462">
        <w:tc>
          <w:tcPr>
            <w:tcW w:w="1740" w:type="dxa"/>
            <w:tcMar/>
          </w:tcPr>
          <w:p w:rsidR="007D182D" w:rsidP="00603A51" w:rsidRDefault="007D182D" w14:paraId="19F11EFF" w14:textId="11982653">
            <w:pPr>
              <w:rPr>
                <w:sz w:val="24"/>
              </w:rPr>
            </w:pPr>
            <w:r>
              <w:rPr>
                <w:sz w:val="24"/>
              </w:rPr>
              <w:t>Service delivery strategies</w:t>
            </w:r>
          </w:p>
        </w:tc>
        <w:tc>
          <w:tcPr>
            <w:tcW w:w="5275" w:type="dxa"/>
            <w:tcMar/>
          </w:tcPr>
          <w:p w:rsidRPr="00B009EB" w:rsidR="007D182D" w:rsidP="00B009EB" w:rsidRDefault="6AAEB0C0" w14:paraId="191E1EEC" w14:textId="7210256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009EB">
              <w:rPr>
                <w:sz w:val="24"/>
                <w:szCs w:val="24"/>
              </w:rPr>
              <w:t>SOP mentions i</w:t>
            </w:r>
            <w:r w:rsidRPr="00B009EB" w:rsidR="007D182D">
              <w:rPr>
                <w:sz w:val="24"/>
                <w:szCs w:val="24"/>
              </w:rPr>
              <w:t xml:space="preserve">ncreases made to the timeframe, </w:t>
            </w:r>
            <w:r w:rsidRPr="00B009EB" w:rsidR="3D6E04E0">
              <w:rPr>
                <w:sz w:val="24"/>
                <w:szCs w:val="24"/>
              </w:rPr>
              <w:t xml:space="preserve">the </w:t>
            </w:r>
            <w:r w:rsidRPr="00B009EB" w:rsidR="007D182D">
              <w:rPr>
                <w:sz w:val="24"/>
                <w:szCs w:val="24"/>
              </w:rPr>
              <w:t xml:space="preserve">number of </w:t>
            </w:r>
            <w:r w:rsidR="006F3366">
              <w:rPr>
                <w:sz w:val="24"/>
                <w:szCs w:val="24"/>
              </w:rPr>
              <w:t xml:space="preserve">survey personnel </w:t>
            </w:r>
            <w:r w:rsidRPr="00B009EB" w:rsidR="007D182D">
              <w:rPr>
                <w:sz w:val="24"/>
                <w:szCs w:val="24"/>
              </w:rPr>
              <w:t xml:space="preserve">for the </w:t>
            </w:r>
            <w:r w:rsidR="006F3366">
              <w:rPr>
                <w:sz w:val="24"/>
                <w:szCs w:val="24"/>
              </w:rPr>
              <w:t>survey</w:t>
            </w:r>
            <w:r w:rsidRPr="1DEBC93F" w:rsidR="007D182D">
              <w:rPr>
                <w:sz w:val="24"/>
                <w:szCs w:val="24"/>
              </w:rPr>
              <w:t xml:space="preserve"> to compensate for delays due to physical distancing and other restrictive measures</w:t>
            </w:r>
          </w:p>
        </w:tc>
        <w:tc>
          <w:tcPr>
            <w:tcW w:w="2001" w:type="dxa"/>
            <w:tcMar/>
          </w:tcPr>
          <w:p w:rsidRPr="000063AF" w:rsidR="007D182D" w:rsidP="000063AF" w:rsidRDefault="007D182D" w14:paraId="518BC054" w14:textId="23C8B777">
            <w:pPr>
              <w:rPr>
                <w:bCs/>
                <w:sz w:val="24"/>
                <w:szCs w:val="24"/>
              </w:rPr>
            </w:pPr>
          </w:p>
        </w:tc>
      </w:tr>
      <w:tr w:rsidR="007D182D" w:rsidTr="16474749" w14:paraId="193E52AF" w14:textId="795E305A">
        <w:tc>
          <w:tcPr>
            <w:tcW w:w="1740" w:type="dxa"/>
            <w:tcMar/>
          </w:tcPr>
          <w:p w:rsidR="007D182D" w:rsidP="00603A51" w:rsidRDefault="007D182D" w14:paraId="73CE7071" w14:textId="77777777">
            <w:pPr>
              <w:rPr>
                <w:sz w:val="24"/>
              </w:rPr>
            </w:pPr>
            <w:r>
              <w:rPr>
                <w:sz w:val="24"/>
              </w:rPr>
              <w:t>Community engagement and risk communication</w:t>
            </w:r>
          </w:p>
        </w:tc>
        <w:tc>
          <w:tcPr>
            <w:tcW w:w="5275" w:type="dxa"/>
            <w:tcMar/>
          </w:tcPr>
          <w:p w:rsidRPr="009646CE" w:rsidR="007D182D" w:rsidP="1DEBC93F" w:rsidRDefault="2B86A8DA" w14:paraId="51BCA28D" w14:textId="0936C492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SOP mentions c</w:t>
            </w:r>
            <w:r w:rsidRPr="1DEBC93F" w:rsidR="007D182D">
              <w:rPr>
                <w:sz w:val="24"/>
                <w:szCs w:val="24"/>
              </w:rPr>
              <w:t>ommunity leaders and trusted actors a</w:t>
            </w:r>
            <w:r w:rsidRPr="1DEBC93F" w:rsidR="736A25E0">
              <w:rPr>
                <w:sz w:val="24"/>
                <w:szCs w:val="24"/>
              </w:rPr>
              <w:t>s being</w:t>
            </w:r>
            <w:r w:rsidRPr="1DEBC93F" w:rsidR="007D182D">
              <w:rPr>
                <w:sz w:val="24"/>
                <w:szCs w:val="24"/>
              </w:rPr>
              <w:t xml:space="preserve"> included in planning and implementation of the </w:t>
            </w:r>
            <w:r w:rsidR="006F3366">
              <w:rPr>
                <w:sz w:val="24"/>
                <w:szCs w:val="24"/>
              </w:rPr>
              <w:t>surveys</w:t>
            </w:r>
            <w:r w:rsidRPr="1DEBC93F" w:rsidR="007D182D">
              <w:rPr>
                <w:sz w:val="24"/>
                <w:szCs w:val="24"/>
              </w:rPr>
              <w:t>, as well as in communicating plans to the population</w:t>
            </w:r>
            <w:r w:rsidR="006F3366">
              <w:rPr>
                <w:sz w:val="24"/>
                <w:szCs w:val="24"/>
              </w:rPr>
              <w:t xml:space="preserve"> to be surveyed</w:t>
            </w:r>
          </w:p>
          <w:p w:rsidR="007D182D" w:rsidP="1DEBC93F" w:rsidRDefault="57CE8F14" w14:paraId="4CB4CCAB" w14:textId="76F232D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SOP specifies m</w:t>
            </w:r>
            <w:r w:rsidRPr="1DEBC93F" w:rsidR="007D182D">
              <w:rPr>
                <w:sz w:val="24"/>
                <w:szCs w:val="24"/>
              </w:rPr>
              <w:t>essag</w:t>
            </w:r>
            <w:r w:rsidRPr="1DEBC93F" w:rsidR="6169E9FF">
              <w:rPr>
                <w:sz w:val="24"/>
                <w:szCs w:val="24"/>
              </w:rPr>
              <w:t>ing</w:t>
            </w:r>
            <w:r w:rsidR="006F3366">
              <w:rPr>
                <w:sz w:val="24"/>
                <w:szCs w:val="24"/>
              </w:rPr>
              <w:t xml:space="preserve"> to the population</w:t>
            </w:r>
            <w:r w:rsidRPr="1DEBC93F" w:rsidR="6169E9FF">
              <w:rPr>
                <w:sz w:val="24"/>
                <w:szCs w:val="24"/>
              </w:rPr>
              <w:t xml:space="preserve"> that</w:t>
            </w:r>
            <w:r w:rsidRPr="1DEBC93F" w:rsidR="007D182D">
              <w:rPr>
                <w:sz w:val="24"/>
                <w:szCs w:val="24"/>
              </w:rPr>
              <w:t xml:space="preserve"> </w:t>
            </w:r>
            <w:r w:rsidRPr="1DEBC93F" w:rsidR="0CFF07DE">
              <w:rPr>
                <w:sz w:val="24"/>
                <w:szCs w:val="24"/>
              </w:rPr>
              <w:t xml:space="preserve">is </w:t>
            </w:r>
            <w:r w:rsidRPr="1DEBC93F" w:rsidR="007D182D">
              <w:rPr>
                <w:sz w:val="24"/>
                <w:szCs w:val="24"/>
              </w:rPr>
              <w:t xml:space="preserve">tailored to facilitate acceptance of changes and modifications </w:t>
            </w:r>
            <w:r w:rsidR="00B009EB">
              <w:rPr>
                <w:sz w:val="24"/>
                <w:szCs w:val="24"/>
              </w:rPr>
              <w:t>from</w:t>
            </w:r>
            <w:r w:rsidRPr="1DEBC93F" w:rsidR="007D182D">
              <w:rPr>
                <w:sz w:val="24"/>
                <w:szCs w:val="24"/>
              </w:rPr>
              <w:t xml:space="preserve"> pre-COVID-19 procedures, and building confidence in the ability of the health system to manage the risk of SARS-CoV-2 transmission during the</w:t>
            </w:r>
            <w:r w:rsidR="006F3366">
              <w:rPr>
                <w:sz w:val="24"/>
                <w:szCs w:val="24"/>
              </w:rPr>
              <w:t xml:space="preserve"> survey</w:t>
            </w:r>
          </w:p>
          <w:p w:rsidRPr="009646CE" w:rsidR="007D182D" w:rsidP="1DEBC93F" w:rsidRDefault="58BB12D8" w14:paraId="4F1CA6F8" w14:textId="096648F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 xml:space="preserve">SOP specifies that </w:t>
            </w:r>
            <w:r w:rsidR="00B009EB">
              <w:rPr>
                <w:sz w:val="24"/>
                <w:szCs w:val="24"/>
              </w:rPr>
              <w:t xml:space="preserve">all health workers involved in </w:t>
            </w:r>
            <w:r w:rsidR="006F3366">
              <w:rPr>
                <w:sz w:val="24"/>
                <w:szCs w:val="24"/>
              </w:rPr>
              <w:t>the survey</w:t>
            </w:r>
            <w:r w:rsidRPr="1DEBC93F" w:rsidR="007D182D">
              <w:rPr>
                <w:sz w:val="24"/>
                <w:szCs w:val="24"/>
              </w:rPr>
              <w:t xml:space="preserve"> </w:t>
            </w:r>
            <w:r w:rsidRPr="1DEBC93F" w:rsidR="325599F2">
              <w:rPr>
                <w:sz w:val="24"/>
                <w:szCs w:val="24"/>
              </w:rPr>
              <w:t xml:space="preserve">are </w:t>
            </w:r>
            <w:r w:rsidRPr="1DEBC93F" w:rsidR="007D182D">
              <w:rPr>
                <w:sz w:val="24"/>
                <w:szCs w:val="24"/>
              </w:rPr>
              <w:t xml:space="preserve">trained to convey messages on COVID-19 in line with national policies and </w:t>
            </w:r>
            <w:r w:rsidRPr="1DEBC93F" w:rsidR="007D182D">
              <w:rPr>
                <w:sz w:val="24"/>
                <w:szCs w:val="24"/>
              </w:rPr>
              <w:lastRenderedPageBreak/>
              <w:t>regulations (</w:t>
            </w:r>
            <w:proofErr w:type="gramStart"/>
            <w:r w:rsidRPr="1DEBC93F" w:rsidR="007D182D">
              <w:rPr>
                <w:sz w:val="24"/>
                <w:szCs w:val="24"/>
              </w:rPr>
              <w:t>e.g.</w:t>
            </w:r>
            <w:proofErr w:type="gramEnd"/>
            <w:r w:rsidRPr="1DEBC93F" w:rsidR="007D182D">
              <w:rPr>
                <w:sz w:val="24"/>
                <w:szCs w:val="24"/>
              </w:rPr>
              <w:t xml:space="preserve"> on public health and social measures, on actions to take for suspected cases and contacts of cases)</w:t>
            </w:r>
          </w:p>
        </w:tc>
        <w:tc>
          <w:tcPr>
            <w:tcW w:w="2001" w:type="dxa"/>
            <w:tcMar/>
          </w:tcPr>
          <w:p w:rsidRPr="000063AF" w:rsidR="0022248E" w:rsidP="000063AF" w:rsidRDefault="0022248E" w14:paraId="2D71E4BB" w14:textId="6633214D">
            <w:pPr>
              <w:rPr>
                <w:sz w:val="24"/>
              </w:rPr>
            </w:pPr>
          </w:p>
        </w:tc>
      </w:tr>
      <w:tr w:rsidR="007D182D" w:rsidTr="16474749" w14:paraId="46C9CD5E" w14:textId="0560B37A">
        <w:tc>
          <w:tcPr>
            <w:tcW w:w="1740" w:type="dxa"/>
            <w:tcMar/>
          </w:tcPr>
          <w:p w:rsidR="007D182D" w:rsidP="00603A51" w:rsidRDefault="007D182D" w14:paraId="2C9CC978" w14:textId="4D54F3A0">
            <w:pPr>
              <w:rPr>
                <w:sz w:val="24"/>
              </w:rPr>
            </w:pPr>
            <w:r>
              <w:rPr>
                <w:sz w:val="24"/>
              </w:rPr>
              <w:t>Supervision and feedback</w:t>
            </w:r>
          </w:p>
        </w:tc>
        <w:tc>
          <w:tcPr>
            <w:tcW w:w="5275" w:type="dxa"/>
            <w:tcMar/>
          </w:tcPr>
          <w:p w:rsidR="007D182D" w:rsidP="1DEBC93F" w:rsidRDefault="006B3206" w14:paraId="3FC63FCC" w14:textId="34A2F05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</w:t>
            </w:r>
            <w:r w:rsidRPr="1DEBC93F" w:rsidR="63A64C1F">
              <w:rPr>
                <w:sz w:val="24"/>
                <w:szCs w:val="24"/>
              </w:rPr>
              <w:t>OP specifies how s</w:t>
            </w:r>
            <w:r w:rsidRPr="1DEBC93F" w:rsidR="007D182D">
              <w:rPr>
                <w:sz w:val="24"/>
                <w:szCs w:val="24"/>
              </w:rPr>
              <w:t>upervi</w:t>
            </w:r>
            <w:r w:rsidRPr="1DEBC93F">
              <w:rPr>
                <w:sz w:val="24"/>
                <w:szCs w:val="24"/>
              </w:rPr>
              <w:t>sion</w:t>
            </w:r>
            <w:r w:rsidRPr="1DEBC93F" w:rsidR="007D182D">
              <w:rPr>
                <w:sz w:val="24"/>
                <w:szCs w:val="24"/>
              </w:rPr>
              <w:t xml:space="preserve"> and monitor</w:t>
            </w:r>
            <w:r w:rsidRPr="1DEBC93F">
              <w:rPr>
                <w:sz w:val="24"/>
                <w:szCs w:val="24"/>
              </w:rPr>
              <w:t>ing</w:t>
            </w:r>
            <w:r w:rsidRPr="1DEBC93F" w:rsidR="007D182D">
              <w:rPr>
                <w:sz w:val="24"/>
                <w:szCs w:val="24"/>
              </w:rPr>
              <w:t xml:space="preserve"> of </w:t>
            </w:r>
            <w:r w:rsidR="006F3366">
              <w:rPr>
                <w:sz w:val="24"/>
                <w:szCs w:val="24"/>
              </w:rPr>
              <w:t>the surveys</w:t>
            </w:r>
            <w:r w:rsidRPr="1DEBC93F" w:rsidR="007D182D">
              <w:rPr>
                <w:sz w:val="24"/>
                <w:szCs w:val="24"/>
              </w:rPr>
              <w:t xml:space="preserve"> </w:t>
            </w:r>
            <w:r w:rsidRPr="1DEBC93F" w:rsidR="34C19750">
              <w:rPr>
                <w:sz w:val="24"/>
                <w:szCs w:val="24"/>
              </w:rPr>
              <w:t xml:space="preserve">will be </w:t>
            </w:r>
            <w:r w:rsidRPr="1DEBC93F" w:rsidR="007D182D">
              <w:rPr>
                <w:sz w:val="24"/>
                <w:szCs w:val="24"/>
              </w:rPr>
              <w:t>applied</w:t>
            </w:r>
          </w:p>
          <w:p w:rsidRPr="009646CE" w:rsidR="007D182D" w:rsidP="16474749" w:rsidRDefault="006B3206" w14:paraId="15E9D62A" w14:textId="58D8E3B9" w14:noSpellErr="1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16474749" w:rsidR="006B3206">
              <w:rPr>
                <w:sz w:val="24"/>
                <w:szCs w:val="24"/>
              </w:rPr>
              <w:t>F</w:t>
            </w:r>
            <w:r w:rsidRPr="16474749" w:rsidR="007D182D">
              <w:rPr>
                <w:sz w:val="24"/>
                <w:szCs w:val="24"/>
              </w:rPr>
              <w:t xml:space="preserve">eedback mechanism </w:t>
            </w:r>
            <w:r w:rsidRPr="16474749" w:rsidR="006B3206">
              <w:rPr>
                <w:sz w:val="24"/>
                <w:szCs w:val="24"/>
              </w:rPr>
              <w:t xml:space="preserve">established </w:t>
            </w:r>
            <w:r w:rsidRPr="16474749" w:rsidR="007D182D">
              <w:rPr>
                <w:sz w:val="24"/>
                <w:szCs w:val="24"/>
              </w:rPr>
              <w:t>with the aim of identifying, reporting</w:t>
            </w:r>
            <w:r w:rsidRPr="16474749" w:rsidR="00AD573D">
              <w:rPr>
                <w:sz w:val="24"/>
                <w:szCs w:val="24"/>
              </w:rPr>
              <w:t>,</w:t>
            </w:r>
            <w:r w:rsidRPr="16474749" w:rsidR="007D182D">
              <w:rPr>
                <w:sz w:val="24"/>
                <w:szCs w:val="24"/>
              </w:rPr>
              <w:t xml:space="preserve"> and correcting any problems occurring during the </w:t>
            </w:r>
            <w:r w:rsidRPr="16474749" w:rsidR="006F3366">
              <w:rPr>
                <w:sz w:val="24"/>
                <w:szCs w:val="24"/>
              </w:rPr>
              <w:t>surveys</w:t>
            </w:r>
          </w:p>
        </w:tc>
        <w:tc>
          <w:tcPr>
            <w:tcW w:w="2001" w:type="dxa"/>
            <w:tcMar/>
          </w:tcPr>
          <w:p w:rsidRPr="000063AF" w:rsidR="007D182D" w:rsidP="000063AF" w:rsidRDefault="007D182D" w14:paraId="69D2051E" w14:textId="52917557">
            <w:pPr>
              <w:rPr>
                <w:sz w:val="24"/>
              </w:rPr>
            </w:pPr>
          </w:p>
        </w:tc>
      </w:tr>
      <w:tr w:rsidR="00B009EB" w:rsidTr="16474749" w14:paraId="404B4667" w14:textId="77777777">
        <w:tc>
          <w:tcPr>
            <w:tcW w:w="1740" w:type="dxa"/>
            <w:tcMar/>
          </w:tcPr>
          <w:p w:rsidR="00B009EB" w:rsidP="00603A51" w:rsidRDefault="00B009EB" w14:paraId="35333FC6" w14:textId="6E7C4DE1">
            <w:pPr>
              <w:rPr>
                <w:sz w:val="24"/>
              </w:rPr>
            </w:pPr>
            <w:r>
              <w:rPr>
                <w:sz w:val="24"/>
              </w:rPr>
              <w:t>People with COVID-19 symptoms</w:t>
            </w:r>
          </w:p>
        </w:tc>
        <w:tc>
          <w:tcPr>
            <w:tcW w:w="5275" w:type="dxa"/>
            <w:tcMar/>
          </w:tcPr>
          <w:p w:rsidRPr="1DEBC93F" w:rsidR="00B009EB" w:rsidP="1DEBC93F" w:rsidRDefault="00B009EB" w14:paraId="0A225DE8" w14:textId="1EA795B2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Anyone with COVID-19 symptoms </w:t>
            </w:r>
            <w:r w:rsidR="0078206E">
              <w:rPr>
                <w:sz w:val="24"/>
                <w:szCs w:val="24"/>
              </w:rPr>
              <w:t>is advised</w:t>
            </w:r>
            <w:r>
              <w:rPr>
                <w:sz w:val="24"/>
                <w:szCs w:val="24"/>
              </w:rPr>
              <w:t xml:space="preserve"> to seek care, as recommended by the national regulations</w:t>
            </w:r>
          </w:p>
        </w:tc>
        <w:tc>
          <w:tcPr>
            <w:tcW w:w="2001" w:type="dxa"/>
            <w:tcMar/>
          </w:tcPr>
          <w:p w:rsidRPr="000063AF" w:rsidR="00B009EB" w:rsidP="000063AF" w:rsidRDefault="00B009EB" w14:paraId="637951FD" w14:textId="314F79CD">
            <w:pPr>
              <w:rPr>
                <w:sz w:val="24"/>
              </w:rPr>
            </w:pPr>
          </w:p>
        </w:tc>
      </w:tr>
    </w:tbl>
    <w:p w:rsidR="00B200D0" w:rsidP="00603A51" w:rsidRDefault="00B200D0" w14:paraId="06F6CE35" w14:textId="77777777">
      <w:pPr>
        <w:rPr>
          <w:sz w:val="24"/>
        </w:rPr>
      </w:pPr>
    </w:p>
    <w:p w:rsidRPr="00660C51" w:rsidR="00195169" w:rsidP="00603A51" w:rsidRDefault="00195169" w14:paraId="4551776F" w14:textId="0CF83E6E">
      <w:pPr>
        <w:rPr>
          <w:b/>
          <w:sz w:val="24"/>
        </w:rPr>
      </w:pPr>
      <w:r w:rsidRPr="00EA1CC0">
        <w:rPr>
          <w:b/>
          <w:sz w:val="24"/>
        </w:rPr>
        <w:t>M</w:t>
      </w:r>
      <w:r w:rsidRPr="00EA1CC0" w:rsidR="009A36C2">
        <w:rPr>
          <w:b/>
          <w:sz w:val="24"/>
        </w:rPr>
        <w:t>itigation m</w:t>
      </w:r>
      <w:r w:rsidRPr="00EA1CC0">
        <w:rPr>
          <w:b/>
          <w:sz w:val="24"/>
        </w:rPr>
        <w:t xml:space="preserve">easures applicable to </w:t>
      </w:r>
      <w:r w:rsidR="006F3366">
        <w:rPr>
          <w:b/>
          <w:sz w:val="24"/>
        </w:rPr>
        <w:t>surveys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5497"/>
        <w:gridCol w:w="1942"/>
      </w:tblGrid>
      <w:tr w:rsidR="00EA1CC0" w:rsidTr="16474749" w14:paraId="33A9F055" w14:textId="759DFC24">
        <w:tc>
          <w:tcPr>
            <w:tcW w:w="1577" w:type="dxa"/>
            <w:tcMar/>
            <w:tcPrChange w:author="Paul Courtright" w:date="2020-12-11T17:46:00Z" w:id="6">
              <w:tcPr>
                <w:tcW w:w="1627" w:type="dxa"/>
              </w:tcPr>
            </w:tcPrChange>
          </w:tcPr>
          <w:p w:rsidRPr="009A36C2" w:rsidR="00EA1CC0" w:rsidP="00603A51" w:rsidRDefault="00EA1CC0" w14:paraId="615FAF4B" w14:textId="77777777">
            <w:pPr>
              <w:rPr>
                <w:b/>
                <w:sz w:val="24"/>
              </w:rPr>
            </w:pPr>
            <w:r w:rsidRPr="009A36C2">
              <w:rPr>
                <w:b/>
                <w:sz w:val="24"/>
              </w:rPr>
              <w:t>Area</w:t>
            </w:r>
          </w:p>
        </w:tc>
        <w:tc>
          <w:tcPr>
            <w:tcW w:w="5497" w:type="dxa"/>
            <w:tcMar/>
            <w:tcPrChange w:author="Paul Courtright" w:date="2020-12-11T17:46:00Z" w:id="7">
              <w:tcPr>
                <w:tcW w:w="5298" w:type="dxa"/>
              </w:tcPr>
            </w:tcPrChange>
          </w:tcPr>
          <w:p w:rsidRPr="009A36C2" w:rsidR="00EA1CC0" w:rsidP="00603A51" w:rsidRDefault="00EA1CC0" w14:paraId="2ED4C583" w14:textId="77777777">
            <w:pPr>
              <w:rPr>
                <w:b/>
                <w:sz w:val="24"/>
              </w:rPr>
            </w:pPr>
            <w:r w:rsidRPr="009A36C2">
              <w:rPr>
                <w:b/>
                <w:sz w:val="24"/>
              </w:rPr>
              <w:t>Considerations</w:t>
            </w:r>
          </w:p>
        </w:tc>
        <w:tc>
          <w:tcPr>
            <w:tcW w:w="1942" w:type="dxa"/>
            <w:tcMar/>
            <w:tcPrChange w:author="Paul Courtright" w:date="2020-12-11T17:46:00Z" w:id="8">
              <w:tcPr>
                <w:tcW w:w="2091" w:type="dxa"/>
              </w:tcPr>
            </w:tcPrChange>
          </w:tcPr>
          <w:p w:rsidRPr="009A36C2" w:rsidR="00EA1CC0" w:rsidP="00603A51" w:rsidRDefault="00EA1CC0" w14:paraId="48DEE105" w14:textId="2D1EA5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Evaluator Comment</w:t>
            </w:r>
          </w:p>
        </w:tc>
      </w:tr>
      <w:tr w:rsidR="00EA1CC0" w:rsidTr="16474749" w14:paraId="184D3B22" w14:textId="296B650B">
        <w:tc>
          <w:tcPr>
            <w:tcW w:w="1577" w:type="dxa"/>
            <w:tcMar/>
            <w:tcPrChange w:author="Paul Courtright" w:date="2020-12-11T17:46:00Z" w:id="9">
              <w:tcPr>
                <w:tcW w:w="1627" w:type="dxa"/>
              </w:tcPr>
            </w:tcPrChange>
          </w:tcPr>
          <w:p w:rsidR="00EA1CC0" w:rsidP="00603A51" w:rsidRDefault="00B009EB" w14:paraId="1975BA22" w14:textId="0E6101DF">
            <w:pPr>
              <w:rPr>
                <w:sz w:val="24"/>
              </w:rPr>
            </w:pPr>
            <w:r>
              <w:rPr>
                <w:sz w:val="24"/>
              </w:rPr>
              <w:t>Training v</w:t>
            </w:r>
            <w:r w:rsidR="00EA1CC0">
              <w:rPr>
                <w:sz w:val="24"/>
              </w:rPr>
              <w:t>enue</w:t>
            </w:r>
            <w:r w:rsidR="0078206E">
              <w:rPr>
                <w:sz w:val="24"/>
              </w:rPr>
              <w:t xml:space="preserve"> </w:t>
            </w:r>
          </w:p>
        </w:tc>
        <w:tc>
          <w:tcPr>
            <w:tcW w:w="5497" w:type="dxa"/>
            <w:tcMar/>
            <w:tcPrChange w:author="Paul Courtright" w:date="2020-12-11T17:46:00Z" w:id="10">
              <w:tcPr>
                <w:tcW w:w="5298" w:type="dxa"/>
              </w:tcPr>
            </w:tcPrChange>
          </w:tcPr>
          <w:p w:rsidR="00EA1CC0" w:rsidP="1DEBC93F" w:rsidRDefault="6A84410F" w14:paraId="5472683E" w14:textId="0294D79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009EB">
              <w:rPr>
                <w:sz w:val="24"/>
                <w:szCs w:val="24"/>
              </w:rPr>
              <w:t xml:space="preserve">SOP specifies that </w:t>
            </w:r>
            <w:r w:rsidR="00B009EB">
              <w:rPr>
                <w:sz w:val="24"/>
                <w:szCs w:val="24"/>
              </w:rPr>
              <w:t>training is to be held outdoors.</w:t>
            </w:r>
            <w:r w:rsidRPr="1DEBC93F" w:rsidR="2D79EE66">
              <w:rPr>
                <w:sz w:val="24"/>
                <w:szCs w:val="24"/>
              </w:rPr>
              <w:t xml:space="preserve"> If indoor</w:t>
            </w:r>
            <w:r w:rsidRPr="1DEBC93F" w:rsidR="46F5A8DA">
              <w:rPr>
                <w:sz w:val="24"/>
                <w:szCs w:val="24"/>
              </w:rPr>
              <w:t xml:space="preserve"> venues are</w:t>
            </w:r>
            <w:r w:rsidRPr="1DEBC93F" w:rsidR="5F22D438">
              <w:rPr>
                <w:sz w:val="24"/>
                <w:szCs w:val="24"/>
              </w:rPr>
              <w:t xml:space="preserve"> proposed</w:t>
            </w:r>
            <w:r w:rsidRPr="1DEBC93F" w:rsidR="2D79EE66">
              <w:rPr>
                <w:sz w:val="24"/>
                <w:szCs w:val="24"/>
              </w:rPr>
              <w:t xml:space="preserve">, use </w:t>
            </w:r>
            <w:r w:rsidRPr="1DEBC93F" w:rsidR="5A932482">
              <w:rPr>
                <w:sz w:val="24"/>
                <w:szCs w:val="24"/>
              </w:rPr>
              <w:t xml:space="preserve">of a </w:t>
            </w:r>
            <w:r w:rsidRPr="1DEBC93F" w:rsidR="2D79EE66">
              <w:rPr>
                <w:sz w:val="24"/>
                <w:szCs w:val="24"/>
              </w:rPr>
              <w:t>well-ventilated area</w:t>
            </w:r>
            <w:r w:rsidRPr="1DEBC93F" w:rsidR="28E08899">
              <w:rPr>
                <w:sz w:val="24"/>
                <w:szCs w:val="24"/>
              </w:rPr>
              <w:t xml:space="preserve"> identified</w:t>
            </w:r>
          </w:p>
          <w:p w:rsidRPr="0063358C" w:rsidR="00EA1CC0" w:rsidP="1DEBC93F" w:rsidRDefault="28E08899" w14:paraId="4415EDB6" w14:textId="6DC01C2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009EB">
              <w:rPr>
                <w:sz w:val="24"/>
                <w:szCs w:val="24"/>
              </w:rPr>
              <w:t>SOP specifies s</w:t>
            </w:r>
            <w:r w:rsidRPr="00B009EB" w:rsidR="2D79EE66">
              <w:rPr>
                <w:sz w:val="24"/>
                <w:szCs w:val="24"/>
              </w:rPr>
              <w:t>chedules for cleaning and disinfection of t</w:t>
            </w:r>
            <w:r w:rsidRPr="00B009EB" w:rsidR="3D049619">
              <w:rPr>
                <w:sz w:val="24"/>
                <w:szCs w:val="24"/>
              </w:rPr>
              <w:t>he</w:t>
            </w:r>
            <w:r w:rsidRPr="00B009EB" w:rsidR="2D79EE66">
              <w:rPr>
                <w:sz w:val="24"/>
                <w:szCs w:val="24"/>
              </w:rPr>
              <w:t xml:space="preserve"> </w:t>
            </w:r>
            <w:r w:rsidR="00B009EB">
              <w:rPr>
                <w:sz w:val="24"/>
                <w:szCs w:val="24"/>
              </w:rPr>
              <w:t xml:space="preserve">training </w:t>
            </w:r>
            <w:r w:rsidRPr="00B009EB" w:rsidR="2D79EE66">
              <w:rPr>
                <w:sz w:val="24"/>
                <w:szCs w:val="24"/>
              </w:rPr>
              <w:t>venue</w:t>
            </w:r>
            <w:r w:rsidR="00B009EB">
              <w:rPr>
                <w:sz w:val="24"/>
                <w:szCs w:val="24"/>
              </w:rPr>
              <w:t xml:space="preserve"> prior to training.  If training is to extend beyond one day, cleaning and disinfection to be carried out prior to each training day.</w:t>
            </w:r>
          </w:p>
        </w:tc>
        <w:tc>
          <w:tcPr>
            <w:tcW w:w="1942" w:type="dxa"/>
            <w:tcMar/>
            <w:tcPrChange w:author="Paul Courtright" w:date="2020-12-11T17:46:00Z" w:id="11">
              <w:tcPr>
                <w:tcW w:w="2091" w:type="dxa"/>
              </w:tcPr>
            </w:tcPrChange>
          </w:tcPr>
          <w:p w:rsidRPr="000063AF" w:rsidR="0078206E" w:rsidP="000063AF" w:rsidRDefault="0078206E" w14:paraId="181023E0" w14:textId="5100763A">
            <w:pPr>
              <w:rPr>
                <w:bCs/>
                <w:sz w:val="24"/>
                <w:szCs w:val="24"/>
              </w:rPr>
            </w:pPr>
          </w:p>
        </w:tc>
      </w:tr>
      <w:tr w:rsidR="00EA1CC0" w:rsidTr="16474749" w14:paraId="230AFE0A" w14:textId="3E3D09CA">
        <w:tc>
          <w:tcPr>
            <w:tcW w:w="1577" w:type="dxa"/>
            <w:tcMar/>
            <w:tcPrChange w:author="Paul Courtright" w:date="2020-12-11T17:46:00Z" w:id="12">
              <w:tcPr>
                <w:tcW w:w="1627" w:type="dxa"/>
              </w:tcPr>
            </w:tcPrChange>
          </w:tcPr>
          <w:p w:rsidR="00EA1CC0" w:rsidP="00603A51" w:rsidRDefault="00315E07" w14:paraId="7D61E89A" w14:textId="413DCD80">
            <w:pPr>
              <w:rPr>
                <w:sz w:val="24"/>
              </w:rPr>
            </w:pPr>
            <w:r w:rsidRPr="00315E07">
              <w:rPr>
                <w:sz w:val="24"/>
              </w:rPr>
              <w:t>Health staff and community health workers</w:t>
            </w:r>
          </w:p>
        </w:tc>
        <w:tc>
          <w:tcPr>
            <w:tcW w:w="5497" w:type="dxa"/>
            <w:tcMar/>
            <w:tcPrChange w:author="Paul Courtright" w:date="2020-12-11T17:46:00Z" w:id="13">
              <w:tcPr>
                <w:tcW w:w="5298" w:type="dxa"/>
              </w:tcPr>
            </w:tcPrChange>
          </w:tcPr>
          <w:p w:rsidRPr="00351CFD" w:rsidR="00EA1CC0" w:rsidP="00351CFD" w:rsidRDefault="6CEB9099" w14:paraId="59E835B5" w14:textId="7B0175CC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 xml:space="preserve">SOP specifies that </w:t>
            </w:r>
            <w:r w:rsidR="00315E07">
              <w:rPr>
                <w:sz w:val="24"/>
                <w:szCs w:val="24"/>
              </w:rPr>
              <w:t>field teams</w:t>
            </w:r>
            <w:r w:rsidR="00351CFD">
              <w:rPr>
                <w:sz w:val="24"/>
                <w:szCs w:val="24"/>
              </w:rPr>
              <w:t xml:space="preserve"> and trainers </w:t>
            </w:r>
            <w:r w:rsidRPr="1DEBC93F" w:rsidR="039A07BF">
              <w:rPr>
                <w:sz w:val="24"/>
                <w:szCs w:val="24"/>
              </w:rPr>
              <w:t xml:space="preserve">should be </w:t>
            </w:r>
            <w:r w:rsidRPr="1DEBC93F" w:rsidR="377E30DB">
              <w:rPr>
                <w:sz w:val="24"/>
                <w:szCs w:val="24"/>
              </w:rPr>
              <w:t>instructed to not</w:t>
            </w:r>
            <w:r w:rsidRPr="1DEBC93F" w:rsidR="2D79EE66">
              <w:rPr>
                <w:sz w:val="24"/>
                <w:szCs w:val="24"/>
              </w:rPr>
              <w:t xml:space="preserve"> be involved in </w:t>
            </w:r>
            <w:r w:rsidR="00351CFD">
              <w:rPr>
                <w:sz w:val="24"/>
                <w:szCs w:val="24"/>
              </w:rPr>
              <w:t xml:space="preserve">training </w:t>
            </w:r>
            <w:r w:rsidRPr="1DEBC93F" w:rsidR="2D79EE66">
              <w:rPr>
                <w:sz w:val="24"/>
                <w:szCs w:val="24"/>
              </w:rPr>
              <w:t xml:space="preserve">if they experience </w:t>
            </w:r>
            <w:r w:rsidRPr="00351CFD" w:rsidR="2D79EE66">
              <w:rPr>
                <w:sz w:val="24"/>
                <w:szCs w:val="24"/>
              </w:rPr>
              <w:t>any symptoms of respiratory illness</w:t>
            </w:r>
          </w:p>
          <w:p w:rsidRPr="006A1138" w:rsidR="00351CFD" w:rsidP="00351CFD" w:rsidRDefault="00351CFD" w14:paraId="3C613606" w14:textId="52068247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16474749" w:rsidR="00351CFD">
              <w:rPr>
                <w:sz w:val="24"/>
                <w:szCs w:val="24"/>
              </w:rPr>
              <w:t xml:space="preserve">SOP specifies that </w:t>
            </w:r>
            <w:r w:rsidRPr="16474749" w:rsidR="0054277E">
              <w:rPr>
                <w:sz w:val="24"/>
                <w:szCs w:val="24"/>
              </w:rPr>
              <w:t>health staff</w:t>
            </w:r>
            <w:r w:rsidRPr="16474749" w:rsidR="00351CFD">
              <w:rPr>
                <w:sz w:val="24"/>
                <w:szCs w:val="24"/>
              </w:rPr>
              <w:t xml:space="preserve"> </w:t>
            </w:r>
            <w:r w:rsidRPr="16474749" w:rsidR="00351CFD">
              <w:rPr>
                <w:sz w:val="24"/>
                <w:szCs w:val="24"/>
              </w:rPr>
              <w:t>with higher risk of transmitting SARS-CoV-2</w:t>
            </w:r>
            <w:r w:rsidRPr="16474749" w:rsidR="00351CFD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16474749" w:rsidR="00315E07">
              <w:rPr>
                <w:sz w:val="24"/>
                <w:szCs w:val="24"/>
              </w:rPr>
              <w:t>should not participate in the planned survey</w:t>
            </w:r>
            <w:r w:rsidRPr="16474749" w:rsidR="00351CFD">
              <w:rPr>
                <w:sz w:val="24"/>
                <w:szCs w:val="24"/>
              </w:rPr>
              <w:t xml:space="preserve"> </w:t>
            </w:r>
          </w:p>
          <w:p w:rsidRPr="006A1138" w:rsidR="00351CFD" w:rsidP="00351CFD" w:rsidRDefault="00351CFD" w14:paraId="786252C7" w14:textId="452620D1">
            <w:pPr>
              <w:pStyle w:val="ListParagraph"/>
              <w:numPr>
                <w:ilvl w:val="1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higher risk includes</w:t>
            </w:r>
            <w:r w:rsidRPr="00636A51">
              <w:rPr>
                <w:sz w:val="24"/>
              </w:rPr>
              <w:t xml:space="preserve"> those with </w:t>
            </w:r>
            <w:r w:rsidRPr="00351CFD">
              <w:rPr>
                <w:sz w:val="24"/>
              </w:rPr>
              <w:t>COVID-19 symptoms, contacts of COVID-19 cases during their period of quarantine, or those coming from areas with community transmission of COVID-19</w:t>
            </w:r>
            <w:r w:rsidRPr="00F6417E">
              <w:rPr>
                <w:b/>
                <w:bCs/>
                <w:sz w:val="24"/>
              </w:rPr>
              <w:t xml:space="preserve"> </w:t>
            </w:r>
          </w:p>
          <w:p w:rsidRPr="00351CFD" w:rsidR="00351CFD" w:rsidP="00351CFD" w:rsidRDefault="00351CFD" w14:paraId="302553C2" w14:textId="50480F32">
            <w:pPr>
              <w:pStyle w:val="ListParagraph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16474749" w:rsidR="00351CFD">
              <w:rPr>
                <w:sz w:val="24"/>
                <w:szCs w:val="24"/>
              </w:rPr>
              <w:t>higher risk</w:t>
            </w:r>
            <w:r w:rsidRPr="16474749" w:rsidR="0054277E">
              <w:rPr>
                <w:sz w:val="24"/>
                <w:szCs w:val="24"/>
              </w:rPr>
              <w:t xml:space="preserve"> may also</w:t>
            </w:r>
            <w:r w:rsidRPr="16474749" w:rsidR="00351CFD">
              <w:rPr>
                <w:sz w:val="24"/>
                <w:szCs w:val="24"/>
              </w:rPr>
              <w:t xml:space="preserve"> </w:t>
            </w:r>
            <w:r w:rsidRPr="16474749" w:rsidR="00AF4449">
              <w:rPr>
                <w:sz w:val="24"/>
                <w:szCs w:val="24"/>
              </w:rPr>
              <w:t>include</w:t>
            </w:r>
            <w:r w:rsidRPr="16474749" w:rsidR="00351CFD">
              <w:rPr>
                <w:sz w:val="24"/>
                <w:szCs w:val="24"/>
              </w:rPr>
              <w:t xml:space="preserve"> those aged ≥60 years or with pre-existing medical conditions such </w:t>
            </w:r>
            <w:r w:rsidRPr="16474749" w:rsidR="001E25FA">
              <w:rPr>
                <w:sz w:val="24"/>
                <w:szCs w:val="24"/>
              </w:rPr>
              <w:t>as hypertension</w:t>
            </w:r>
            <w:r w:rsidRPr="16474749" w:rsidR="00F11871">
              <w:rPr>
                <w:sz w:val="24"/>
                <w:szCs w:val="24"/>
              </w:rPr>
              <w:t xml:space="preserve"> and </w:t>
            </w:r>
            <w:r w:rsidRPr="16474749" w:rsidR="00351CFD">
              <w:rPr>
                <w:sz w:val="24"/>
                <w:szCs w:val="24"/>
              </w:rPr>
              <w:t>diabetes mellitus).</w:t>
            </w:r>
            <w:r w:rsidRPr="16474749" w:rsidR="00351CFD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Mar/>
            <w:tcPrChange w:author="Paul Courtright" w:date="2020-12-11T17:46:00Z" w:id="20">
              <w:tcPr>
                <w:tcW w:w="2091" w:type="dxa"/>
              </w:tcPr>
            </w:tcPrChange>
          </w:tcPr>
          <w:p w:rsidRPr="000063AF" w:rsidR="007D7EE3" w:rsidP="000063AF" w:rsidRDefault="007D7EE3" w14:paraId="46AD53D0" w14:textId="211E8B9E">
            <w:pPr>
              <w:rPr>
                <w:sz w:val="24"/>
              </w:rPr>
            </w:pPr>
          </w:p>
        </w:tc>
      </w:tr>
      <w:tr w:rsidRPr="00B25B4A" w:rsidR="00B25B4A" w:rsidTr="16474749" w14:paraId="3AD78178" w14:textId="77777777">
        <w:tc>
          <w:tcPr>
            <w:tcW w:w="1577" w:type="dxa"/>
            <w:tcMar/>
            <w:hideMark/>
            <w:tcPrChange w:author="Paul Courtright" w:date="2020-12-11T17:46:00Z" w:id="21">
              <w:tcPr>
                <w:tcW w:w="1627" w:type="dxa"/>
                <w:hideMark/>
              </w:tcPr>
            </w:tcPrChange>
          </w:tcPr>
          <w:p w:rsidRPr="00B25B4A" w:rsidR="00B25B4A" w:rsidP="00B25B4A" w:rsidRDefault="00B25B4A" w14:paraId="64548B56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Duration of contact  </w:t>
            </w:r>
          </w:p>
        </w:tc>
        <w:tc>
          <w:tcPr>
            <w:tcW w:w="5497" w:type="dxa"/>
            <w:tcMar/>
            <w:hideMark/>
            <w:tcPrChange w:author="Paul Courtright" w:date="2020-12-11T17:46:00Z" w:id="22">
              <w:tcPr>
                <w:tcW w:w="5298" w:type="dxa"/>
                <w:hideMark/>
              </w:tcPr>
            </w:tcPrChange>
          </w:tcPr>
          <w:p w:rsidRPr="00B25B4A" w:rsidR="00B25B4A" w:rsidP="16474749" w:rsidRDefault="00B25B4A" w14:paraId="1A724872" w14:textId="64CF8921">
            <w:pPr>
              <w:numPr>
                <w:ilvl w:val="0"/>
                <w:numId w:val="26"/>
              </w:numPr>
              <w:tabs>
                <w:tab w:val="clear" w:pos="720"/>
                <w:tab w:val="num" w:pos="376"/>
                <w:tab w:val="left" w:pos="3961"/>
              </w:tabs>
              <w:ind w:left="376" w:hanging="376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16474749" w:rsid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SOP specifies that the duration of contact between</w:t>
            </w:r>
            <w:r w:rsidRPr="16474749" w:rsid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field </w:t>
            </w:r>
            <w:r w:rsidRPr="16474749" w:rsidR="00ED31BB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teams</w:t>
            </w:r>
            <w:r w:rsidRPr="16474749" w:rsid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and </w:t>
            </w:r>
            <w:r w:rsidRPr="16474749" w:rsid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targeted population should be minimized. Contact (≥15 minutes) between any two individuals not allowed</w:t>
            </w:r>
            <w:r w:rsidRPr="16474749" w:rsid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(unless </w:t>
            </w:r>
            <w:proofErr w:type="gramStart"/>
            <w:r w:rsidRPr="16474749" w:rsid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absolutely</w:t>
            </w:r>
            <w:r w:rsidRPr="16474749" w:rsidR="00AD573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</w:t>
            </w:r>
            <w:r w:rsidRPr="16474749" w:rsid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mandatory</w:t>
            </w:r>
            <w:proofErr w:type="gramEnd"/>
            <w:r w:rsidRPr="16474749" w:rsid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and only if </w:t>
            </w:r>
            <w:r w:rsidRPr="16474749" w:rsidR="00AD573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a </w:t>
            </w:r>
            <w:r w:rsidRPr="16474749" w:rsid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fac</w:t>
            </w:r>
            <w:r w:rsidRPr="16474749" w:rsidR="00AD573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</w:t>
            </w:r>
            <w:r w:rsidRPr="16474749" w:rsid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mask</w:t>
            </w:r>
            <w:r w:rsidRPr="16474749" w:rsid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and eye protection</w:t>
            </w:r>
            <w:r w:rsidRPr="16474749" w:rsid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are worn)</w:t>
            </w:r>
            <w:r w:rsidRPr="16474749" w:rsid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B25B4A" w:rsidR="00B25B4A" w:rsidP="000063AF" w:rsidRDefault="00B25B4A" w14:paraId="2D520DF7" w14:textId="3FADD0FE">
            <w:pPr>
              <w:numPr>
                <w:ilvl w:val="0"/>
                <w:numId w:val="26"/>
              </w:numPr>
              <w:tabs>
                <w:tab w:val="clear" w:pos="720"/>
                <w:tab w:val="num" w:pos="376"/>
              </w:tabs>
              <w:ind w:left="376" w:hanging="376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proofErr w:type="spellStart"/>
            <w:r w:rsidRP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lastRenderedPageBreak/>
              <w:t>SoP</w:t>
            </w:r>
            <w:proofErr w:type="spellEnd"/>
            <w:r w:rsidRP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states that examination should be outside.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</w:t>
            </w:r>
            <w:r w:rsidRP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If </w:t>
            </w:r>
            <w:r w:rsidR="00ED31BB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examination </w:t>
            </w:r>
            <w:r w:rsidRP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is conducted indoors</w:t>
            </w:r>
            <w:r>
              <w:t xml:space="preserve"> (</w:t>
            </w:r>
            <w:r w:rsidRP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person to be examined cannot walk</w:t>
            </w:r>
            <w:r w:rsidR="00C0062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)</w:t>
            </w:r>
            <w:r w:rsidRP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, time spent by the </w:t>
            </w:r>
            <w:r w:rsidR="00ED31BB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field team and the </w:t>
            </w:r>
            <w:r w:rsidRP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target individuals and</w:t>
            </w:r>
            <w:r w:rsidR="00ED31BB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/or</w:t>
            </w:r>
            <w:r w:rsidRP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their companions is to be limited, </w:t>
            </w:r>
            <w:proofErr w:type="gramStart"/>
            <w:r w:rsidRP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e.g.</w:t>
            </w:r>
            <w:proofErr w:type="gramEnd"/>
            <w:r w:rsidRP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by ensuring that queueing takes place outdoors </w:t>
            </w:r>
          </w:p>
        </w:tc>
        <w:tc>
          <w:tcPr>
            <w:tcW w:w="1942" w:type="dxa"/>
            <w:tcMar/>
            <w:hideMark/>
            <w:tcPrChange w:author="Paul Courtright" w:date="2020-12-11T17:46:00Z" w:id="31">
              <w:tcPr>
                <w:tcW w:w="2091" w:type="dxa"/>
                <w:hideMark/>
              </w:tcPr>
            </w:tcPrChange>
          </w:tcPr>
          <w:p w:rsidRPr="00B25B4A" w:rsidR="00B25B4A" w:rsidP="00B25B4A" w:rsidRDefault="00B25B4A" w14:paraId="3FEE7A52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B25B4A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315E07" w:rsidTr="16474749" w14:paraId="27637D15" w14:textId="77777777">
        <w:tc>
          <w:tcPr>
            <w:tcW w:w="1577" w:type="dxa"/>
            <w:tcMar/>
            <w:tcPrChange w:author="Paul Courtright" w:date="2020-12-11T17:46:00Z" w:id="32">
              <w:tcPr>
                <w:tcW w:w="1627" w:type="dxa"/>
              </w:tcPr>
            </w:tcPrChange>
          </w:tcPr>
          <w:p w:rsidR="00315E07" w:rsidP="00315E07" w:rsidRDefault="00315E07" w14:paraId="166AA728" w14:textId="0A377E76">
            <w:pPr>
              <w:rPr>
                <w:sz w:val="24"/>
              </w:rPr>
            </w:pPr>
            <w:r>
              <w:rPr>
                <w:sz w:val="24"/>
              </w:rPr>
              <w:t xml:space="preserve">Basic preventive measures </w:t>
            </w:r>
            <w:r w:rsidR="00B25B4A">
              <w:rPr>
                <w:sz w:val="24"/>
              </w:rPr>
              <w:t>(should also be included in revised training manuals)</w:t>
            </w:r>
          </w:p>
        </w:tc>
        <w:tc>
          <w:tcPr>
            <w:tcW w:w="5497" w:type="dxa"/>
            <w:tcMar/>
            <w:tcPrChange w:author="Paul Courtright" w:date="2020-12-11T17:46:00Z" w:id="33">
              <w:tcPr>
                <w:tcW w:w="5298" w:type="dxa"/>
              </w:tcPr>
            </w:tcPrChange>
          </w:tcPr>
          <w:p w:rsidRPr="008F69F5" w:rsidR="00315E07" w:rsidP="00315E07" w:rsidRDefault="00B25B4A" w14:paraId="144D33F9" w14:textId="0AC6E1D2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SOP conveys messages on the three basic preventive measures: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8F69F5" w:rsidR="00315E07">
              <w:rPr>
                <w:sz w:val="24"/>
              </w:rPr>
              <w:t>Physica</w:t>
            </w:r>
            <w:r w:rsidR="00315E07">
              <w:rPr>
                <w:sz w:val="24"/>
              </w:rPr>
              <w:t>l distancing: a distance of</w:t>
            </w:r>
            <w:r w:rsidRPr="000763D2" w:rsidR="00315E07">
              <w:rPr>
                <w:sz w:val="24"/>
              </w:rPr>
              <w:t xml:space="preserve"> at least 1 metre (3</w:t>
            </w:r>
            <w:r w:rsidR="00315E07">
              <w:rPr>
                <w:sz w:val="24"/>
              </w:rPr>
              <w:t>.3</w:t>
            </w:r>
            <w:r w:rsidRPr="000763D2" w:rsidR="00315E07">
              <w:rPr>
                <w:sz w:val="24"/>
              </w:rPr>
              <w:t xml:space="preserve"> feet) between </w:t>
            </w:r>
            <w:r w:rsidR="00315E07">
              <w:rPr>
                <w:sz w:val="24"/>
              </w:rPr>
              <w:t xml:space="preserve">any two individuals,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(exceptions may apply, </w:t>
            </w:r>
            <w:proofErr w:type="gram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e.g.</w:t>
            </w:r>
            <w:proofErr w:type="gram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in case of clinical examination)</w:t>
            </w:r>
          </w:p>
          <w:p w:rsidRPr="008F69F5" w:rsidR="00315E07" w:rsidP="00315E07" w:rsidRDefault="00315E07" w14:paraId="70CF986B" w14:textId="77777777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 xml:space="preserve">Respiratory/cough etiquette: </w:t>
            </w:r>
            <w:r>
              <w:rPr>
                <w:sz w:val="24"/>
                <w:szCs w:val="24"/>
              </w:rPr>
              <w:t xml:space="preserve">examiner/recorder </w:t>
            </w:r>
            <w:r w:rsidRPr="1DEBC93F">
              <w:rPr>
                <w:sz w:val="24"/>
                <w:szCs w:val="24"/>
              </w:rPr>
              <w:t xml:space="preserve">instructed to cover their mouth and nose with their bent elbow when they cough or sneeze. </w:t>
            </w:r>
            <w:r>
              <w:rPr>
                <w:sz w:val="24"/>
                <w:szCs w:val="24"/>
              </w:rPr>
              <w:t>They</w:t>
            </w:r>
            <w:r w:rsidRPr="1DEBC93F">
              <w:rPr>
                <w:sz w:val="24"/>
                <w:szCs w:val="24"/>
              </w:rPr>
              <w:t xml:space="preserve"> should avoid touching their eyes, </w:t>
            </w:r>
            <w:proofErr w:type="gramStart"/>
            <w:r w:rsidRPr="1DEBC93F">
              <w:rPr>
                <w:sz w:val="24"/>
                <w:szCs w:val="24"/>
              </w:rPr>
              <w:t>nose</w:t>
            </w:r>
            <w:proofErr w:type="gramEnd"/>
            <w:r w:rsidRPr="1DEBC93F">
              <w:rPr>
                <w:sz w:val="24"/>
                <w:szCs w:val="24"/>
              </w:rPr>
              <w:t xml:space="preserve"> and mouth</w:t>
            </w:r>
          </w:p>
          <w:p w:rsidRPr="1DEBC93F" w:rsidR="00315E07" w:rsidP="00315E07" w:rsidRDefault="00315E07" w14:paraId="149B7330" w14:textId="0AD1F2B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F69F5">
              <w:rPr>
                <w:sz w:val="24"/>
              </w:rPr>
              <w:t>Hand hygiene practice</w:t>
            </w:r>
            <w:r>
              <w:rPr>
                <w:sz w:val="24"/>
              </w:rPr>
              <w:t>: r</w:t>
            </w:r>
            <w:r w:rsidRPr="000763D2">
              <w:rPr>
                <w:sz w:val="24"/>
              </w:rPr>
              <w:t xml:space="preserve">egularly and thoroughly </w:t>
            </w:r>
            <w:r>
              <w:rPr>
                <w:sz w:val="24"/>
              </w:rPr>
              <w:t xml:space="preserve">wash your hands with soap and water.  After examination of each patient the </w:t>
            </w:r>
            <w:r w:rsidR="00B25B4A">
              <w:rPr>
                <w:sz w:val="24"/>
              </w:rPr>
              <w:t>field technician</w:t>
            </w:r>
            <w:r>
              <w:rPr>
                <w:sz w:val="24"/>
              </w:rPr>
              <w:t xml:space="preserve"> should </w:t>
            </w:r>
            <w:r w:rsidRPr="000763D2">
              <w:rPr>
                <w:sz w:val="24"/>
              </w:rPr>
              <w:t xml:space="preserve">clean </w:t>
            </w:r>
            <w:r>
              <w:rPr>
                <w:sz w:val="24"/>
              </w:rPr>
              <w:t>their hands</w:t>
            </w:r>
            <w:r w:rsidRPr="000763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with a hand sanitizer (60-80% alcohol) </w:t>
            </w:r>
          </w:p>
        </w:tc>
        <w:tc>
          <w:tcPr>
            <w:tcW w:w="1942" w:type="dxa"/>
            <w:tcMar/>
            <w:tcPrChange w:author="Paul Courtright" w:date="2020-12-11T17:46:00Z" w:id="34">
              <w:tcPr>
                <w:tcW w:w="2091" w:type="dxa"/>
              </w:tcPr>
            </w:tcPrChange>
          </w:tcPr>
          <w:p w:rsidRPr="000063AF" w:rsidR="00315E07" w:rsidP="000063AF" w:rsidRDefault="00315E07" w14:paraId="2A9EC11F" w14:textId="77777777">
            <w:pPr>
              <w:rPr>
                <w:bCs/>
                <w:sz w:val="24"/>
                <w:szCs w:val="24"/>
              </w:rPr>
            </w:pPr>
          </w:p>
        </w:tc>
      </w:tr>
      <w:tr w:rsidR="00315E07" w:rsidTr="16474749" w14:paraId="2BB23104" w14:textId="77777777">
        <w:tc>
          <w:tcPr>
            <w:tcW w:w="1577" w:type="dxa"/>
            <w:tcMar/>
            <w:tcPrChange w:author="Paul Courtright" w:date="2020-12-11T17:46:00Z" w:id="35">
              <w:tcPr>
                <w:tcW w:w="1627" w:type="dxa"/>
              </w:tcPr>
            </w:tcPrChange>
          </w:tcPr>
          <w:p w:rsidR="00315E07" w:rsidP="00315E07" w:rsidRDefault="00C0062E" w14:paraId="0D81A9B3" w14:textId="716E979B">
            <w:pPr>
              <w:rPr>
                <w:sz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Infection prevention and control (IPC)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5497" w:type="dxa"/>
            <w:tcMar/>
            <w:tcPrChange w:author="Paul Courtright" w:date="2020-12-11T17:46:00Z" w:id="36">
              <w:tcPr>
                <w:tcW w:w="5298" w:type="dxa"/>
              </w:tcPr>
            </w:tcPrChange>
          </w:tcPr>
          <w:p w:rsidRPr="001A1DF3" w:rsidR="00C0062E" w:rsidP="00DA018D" w:rsidRDefault="00C0062E" w14:paraId="732CAD7E" w14:textId="7BB7224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0062E">
              <w:rPr>
                <w:sz w:val="24"/>
                <w:szCs w:val="24"/>
              </w:rPr>
              <w:t xml:space="preserve">SOP specifies that, prior to interaction in a community, hand washing facilities with soap and water or hand sanitizers (60-80% alcohol) or chlorinated water (water solution of sodium hypochlorite, 0.05%) are to be available </w:t>
            </w:r>
          </w:p>
          <w:p w:rsidR="00DA018D" w:rsidP="00DA018D" w:rsidRDefault="00C0062E" w14:paraId="0AD31012" w14:textId="3ABB0D0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0062E">
              <w:rPr>
                <w:sz w:val="24"/>
                <w:szCs w:val="24"/>
              </w:rPr>
              <w:t xml:space="preserve">SOP specifies national policy on the use of facial covering by </w:t>
            </w:r>
            <w:r w:rsidR="00ED31BB">
              <w:rPr>
                <w:sz w:val="24"/>
                <w:szCs w:val="24"/>
              </w:rPr>
              <w:t>field teams</w:t>
            </w:r>
            <w:r w:rsidRPr="00C0062E">
              <w:rPr>
                <w:sz w:val="24"/>
                <w:szCs w:val="24"/>
              </w:rPr>
              <w:t xml:space="preserve">.  Where recommended, masks (medical or reusable fabric) are provided to health workers and participants for the activity. </w:t>
            </w:r>
          </w:p>
          <w:p w:rsidRPr="001A1DF3" w:rsidR="00C0062E" w:rsidP="00DA018D" w:rsidRDefault="00DA018D" w14:paraId="2C7BA2C6" w14:textId="3199135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16474749" w:rsidR="00DA018D">
              <w:rPr>
                <w:sz w:val="24"/>
                <w:szCs w:val="24"/>
              </w:rPr>
              <w:t>SoP</w:t>
            </w:r>
            <w:proofErr w:type="spellEnd"/>
            <w:r w:rsidRPr="16474749" w:rsidR="00DA018D">
              <w:rPr>
                <w:sz w:val="24"/>
                <w:szCs w:val="24"/>
              </w:rPr>
              <w:t xml:space="preserve"> states that the masks should be used for only one day (disposable) or washed after each day (cloth).  </w:t>
            </w:r>
            <w:r w:rsidRPr="16474749" w:rsidR="00AD573D">
              <w:rPr>
                <w:sz w:val="24"/>
                <w:szCs w:val="24"/>
              </w:rPr>
              <w:t>A s</w:t>
            </w:r>
            <w:r w:rsidRPr="16474749" w:rsidR="00DA018D">
              <w:rPr>
                <w:sz w:val="24"/>
                <w:szCs w:val="24"/>
              </w:rPr>
              <w:t>ufficient number of masks are to be provided.</w:t>
            </w:r>
          </w:p>
          <w:p w:rsidRPr="007D7EE3" w:rsidR="00315E07" w:rsidP="000063AF" w:rsidRDefault="00C0062E" w14:paraId="4257E56F" w14:textId="3354DF3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16474749" w:rsidR="00C0062E">
              <w:rPr>
                <w:sz w:val="24"/>
                <w:szCs w:val="24"/>
              </w:rPr>
              <w:t>SoP</w:t>
            </w:r>
            <w:proofErr w:type="spellEnd"/>
            <w:r w:rsidRPr="16474749" w:rsidR="00C0062E">
              <w:rPr>
                <w:sz w:val="24"/>
                <w:szCs w:val="24"/>
              </w:rPr>
              <w:t xml:space="preserve"> states that </w:t>
            </w:r>
            <w:r w:rsidRPr="16474749" w:rsidR="00DA018D">
              <w:rPr>
                <w:sz w:val="24"/>
                <w:szCs w:val="24"/>
              </w:rPr>
              <w:t>eye protection (</w:t>
            </w:r>
            <w:r w:rsidRPr="16474749" w:rsidR="00C0062E">
              <w:rPr>
                <w:sz w:val="24"/>
                <w:szCs w:val="24"/>
              </w:rPr>
              <w:t>face shield</w:t>
            </w:r>
            <w:r w:rsidRPr="16474749" w:rsidR="00DA018D">
              <w:rPr>
                <w:sz w:val="24"/>
                <w:szCs w:val="24"/>
              </w:rPr>
              <w:t>)</w:t>
            </w:r>
            <w:r w:rsidRPr="16474749" w:rsidR="00C0062E">
              <w:rPr>
                <w:sz w:val="24"/>
                <w:szCs w:val="24"/>
              </w:rPr>
              <w:t xml:space="preserve"> should be wiped off after each household visit. </w:t>
            </w:r>
            <w:r w:rsidRPr="16474749" w:rsidR="00DA01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Mar/>
            <w:tcPrChange w:author="Paul Courtright" w:date="2020-12-11T17:46:00Z" w:id="40">
              <w:tcPr>
                <w:tcW w:w="2091" w:type="dxa"/>
              </w:tcPr>
            </w:tcPrChange>
          </w:tcPr>
          <w:p w:rsidRPr="000063AF" w:rsidR="00315E07" w:rsidP="000063AF" w:rsidRDefault="00315E07" w14:paraId="4109B003" w14:textId="77777777">
            <w:pPr>
              <w:rPr>
                <w:sz w:val="24"/>
                <w:szCs w:val="24"/>
              </w:rPr>
            </w:pPr>
          </w:p>
        </w:tc>
      </w:tr>
      <w:tr w:rsidR="00315E07" w:rsidTr="16474749" w14:paraId="2AE14447" w14:textId="77777777">
        <w:tc>
          <w:tcPr>
            <w:tcW w:w="1577" w:type="dxa"/>
            <w:tcMar/>
            <w:tcPrChange w:author="Paul Courtright" w:date="2020-12-11T17:46:00Z" w:id="41">
              <w:tcPr>
                <w:tcW w:w="1627" w:type="dxa"/>
              </w:tcPr>
            </w:tcPrChange>
          </w:tcPr>
          <w:p w:rsidR="00315E07" w:rsidP="00315E07" w:rsidRDefault="00315E07" w14:paraId="54299FB5" w14:textId="77777777">
            <w:pPr>
              <w:rPr>
                <w:sz w:val="24"/>
              </w:rPr>
            </w:pPr>
            <w:r>
              <w:rPr>
                <w:sz w:val="24"/>
              </w:rPr>
              <w:t>Flow regulation</w:t>
            </w:r>
          </w:p>
        </w:tc>
        <w:tc>
          <w:tcPr>
            <w:tcW w:w="5497" w:type="dxa"/>
            <w:tcMar/>
            <w:tcPrChange w:author="Paul Courtright" w:date="2020-12-11T17:46:00Z" w:id="42">
              <w:tcPr>
                <w:tcW w:w="5298" w:type="dxa"/>
              </w:tcPr>
            </w:tcPrChange>
          </w:tcPr>
          <w:p w:rsidRPr="000763D2" w:rsidR="00315E07" w:rsidP="00315E07" w:rsidRDefault="00315E07" w14:paraId="5BE0D0F9" w14:textId="77777777">
            <w:p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SOP minimizes crowding by:</w:t>
            </w:r>
          </w:p>
          <w:p w:rsidR="00315E07" w:rsidP="00315E07" w:rsidRDefault="00315E07" w14:paraId="5ABDC1B6" w14:textId="26581C4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 xml:space="preserve">Limiting the number of family members accompanying the person to </w:t>
            </w:r>
            <w:r>
              <w:rPr>
                <w:sz w:val="24"/>
                <w:szCs w:val="24"/>
              </w:rPr>
              <w:t>un</w:t>
            </w:r>
            <w:r w:rsidRPr="1DEBC93F">
              <w:rPr>
                <w:sz w:val="24"/>
                <w:szCs w:val="24"/>
              </w:rPr>
              <w:t>dergo the examination (one companion)</w:t>
            </w:r>
          </w:p>
          <w:p w:rsidRPr="0078206E" w:rsidR="00315E07" w:rsidP="00315E07" w:rsidRDefault="00315E07" w14:paraId="4744E1B9" w14:textId="2C32235C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Always m</w:t>
            </w:r>
            <w:r w:rsidRPr="00F74A7B">
              <w:rPr>
                <w:sz w:val="24"/>
              </w:rPr>
              <w:t>aintain</w:t>
            </w:r>
            <w:r>
              <w:rPr>
                <w:sz w:val="24"/>
              </w:rPr>
              <w:t>ing</w:t>
            </w:r>
            <w:r w:rsidRPr="00F74A7B">
              <w:rPr>
                <w:sz w:val="24"/>
              </w:rPr>
              <w:t xml:space="preserve"> at least</w:t>
            </w:r>
            <w:r>
              <w:rPr>
                <w:sz w:val="24"/>
              </w:rPr>
              <w:t xml:space="preserve"> 1</w:t>
            </w:r>
            <w:r w:rsidRPr="00F74A7B">
              <w:rPr>
                <w:sz w:val="24"/>
              </w:rPr>
              <w:t xml:space="preserve"> metre </w:t>
            </w:r>
            <w:r>
              <w:rPr>
                <w:sz w:val="24"/>
              </w:rPr>
              <w:t xml:space="preserve">(3.3. feet) </w:t>
            </w:r>
            <w:r w:rsidRPr="00F74A7B">
              <w:rPr>
                <w:sz w:val="24"/>
              </w:rPr>
              <w:t>distance between any</w:t>
            </w:r>
            <w:r>
              <w:rPr>
                <w:sz w:val="24"/>
              </w:rPr>
              <w:t xml:space="preserve"> two</w:t>
            </w:r>
            <w:r w:rsidRPr="00F74A7B">
              <w:rPr>
                <w:sz w:val="24"/>
              </w:rPr>
              <w:t xml:space="preserve"> individual</w:t>
            </w:r>
            <w:r>
              <w:rPr>
                <w:sz w:val="24"/>
              </w:rPr>
              <w:t>s</w:t>
            </w:r>
            <w:r w:rsidRPr="00F74A7B">
              <w:rPr>
                <w:sz w:val="24"/>
              </w:rPr>
              <w:t xml:space="preserve"> </w:t>
            </w:r>
          </w:p>
        </w:tc>
        <w:tc>
          <w:tcPr>
            <w:tcW w:w="1942" w:type="dxa"/>
            <w:tcMar/>
            <w:tcPrChange w:author="Paul Courtright" w:date="2020-12-11T17:46:00Z" w:id="43">
              <w:tcPr>
                <w:tcW w:w="2091" w:type="dxa"/>
              </w:tcPr>
            </w:tcPrChange>
          </w:tcPr>
          <w:p w:rsidRPr="000063AF" w:rsidR="00315E07" w:rsidP="000063AF" w:rsidRDefault="00315E07" w14:paraId="38944329" w14:textId="22F426E2">
            <w:pPr>
              <w:rPr>
                <w:sz w:val="24"/>
              </w:rPr>
            </w:pPr>
          </w:p>
        </w:tc>
      </w:tr>
      <w:tr w:rsidRPr="00DA018D" w:rsidR="00DA018D" w:rsidTr="16474749" w14:paraId="266304AE" w14:textId="77777777">
        <w:tc>
          <w:tcPr>
            <w:tcW w:w="1577" w:type="dxa"/>
            <w:tcMar/>
            <w:hideMark/>
            <w:tcPrChange w:author="Paul Courtright" w:date="2020-12-11T17:46:00Z" w:id="44">
              <w:tcPr>
                <w:tcW w:w="1627" w:type="dxa"/>
                <w:hideMark/>
              </w:tcPr>
            </w:tcPrChange>
          </w:tcPr>
          <w:p w:rsidRPr="00DA018D" w:rsidR="00DA018D" w:rsidP="00DA018D" w:rsidRDefault="00DA018D" w14:paraId="7FB06FB5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Screening of attendees for COVID-19 symptoms </w:t>
            </w:r>
          </w:p>
        </w:tc>
        <w:tc>
          <w:tcPr>
            <w:tcW w:w="5497" w:type="dxa"/>
            <w:tcMar/>
            <w:hideMark/>
            <w:tcPrChange w:author="Paul Courtright" w:date="2020-12-11T17:46:00Z" w:id="45">
              <w:tcPr>
                <w:tcW w:w="5298" w:type="dxa"/>
                <w:hideMark/>
              </w:tcPr>
            </w:tcPrChange>
          </w:tcPr>
          <w:p w:rsidRPr="00DA018D" w:rsidR="00DA018D" w:rsidP="000063AF" w:rsidRDefault="00DA018D" w14:paraId="2EBA6997" w14:textId="77777777">
            <w:pPr>
              <w:numPr>
                <w:ilvl w:val="0"/>
                <w:numId w:val="27"/>
              </w:numPr>
              <w:tabs>
                <w:tab w:val="clear" w:pos="720"/>
              </w:tabs>
              <w:ind w:left="376" w:hanging="376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SOP considers screening targeted individuals and companions prior to participation or admittance to the activity site, for: </w:t>
            </w:r>
          </w:p>
          <w:p w:rsidRPr="00DA018D" w:rsidR="00DA018D" w:rsidP="16474749" w:rsidRDefault="00DA018D" w14:paraId="4071A2FE" w14:textId="77777777">
            <w:pPr>
              <w:numPr>
                <w:ilvl w:val="0"/>
                <w:numId w:val="28"/>
              </w:numPr>
              <w:ind w:left="1006" w:hanging="286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COVID-19 symptoms: </w:t>
            </w:r>
            <w:proofErr w:type="gramStart"/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e.g.</w:t>
            </w:r>
            <w:proofErr w:type="gramEnd"/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fever or, if not feasible, symptoms visibly apparent such as 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cough, shortness of breath, nasal congestion, red eyes   </w:t>
            </w:r>
          </w:p>
          <w:p w:rsidRPr="00DA018D" w:rsidR="00DA018D" w:rsidP="16474749" w:rsidRDefault="00DA018D" w14:paraId="6286BBA5" w14:textId="77777777">
            <w:pPr>
              <w:numPr>
                <w:ilvl w:val="0"/>
                <w:numId w:val="28"/>
              </w:numPr>
              <w:ind w:left="1006" w:hanging="286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Exposure to risk: </w:t>
            </w:r>
            <w:proofErr w:type="gramStart"/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e.g.</w:t>
            </w:r>
            <w:proofErr w:type="gramEnd"/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contacts of COVID-19 cases during their period of quarantine, or those coming from areas with community transmission of SARS-CoV-2 </w:t>
            </w:r>
          </w:p>
          <w:p w:rsidRPr="00DA018D" w:rsidR="00DA018D" w:rsidP="000063AF" w:rsidRDefault="00DA018D" w14:paraId="65FC32FF" w14:textId="005DDD4F">
            <w:pPr>
              <w:numPr>
                <w:ilvl w:val="0"/>
                <w:numId w:val="29"/>
              </w:numPr>
              <w:tabs>
                <w:tab w:val="clear" w:pos="720"/>
                <w:tab w:val="num" w:pos="466"/>
              </w:tabs>
              <w:ind w:left="466" w:hanging="466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If screening is positive, individual referred for COVID-19 </w:t>
            </w:r>
            <w:r w:rsidR="00ED31BB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related </w:t>
            </w:r>
            <w:r w:rsidRP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services</w:t>
            </w:r>
          </w:p>
        </w:tc>
        <w:tc>
          <w:tcPr>
            <w:tcW w:w="1942" w:type="dxa"/>
            <w:tcMar/>
            <w:hideMark/>
            <w:tcPrChange w:author="Paul Courtright" w:date="2020-12-11T17:46:00Z" w:id="48">
              <w:tcPr>
                <w:tcW w:w="2091" w:type="dxa"/>
                <w:hideMark/>
              </w:tcPr>
            </w:tcPrChange>
          </w:tcPr>
          <w:p w:rsidRPr="00DA018D" w:rsidR="00DA018D" w:rsidP="000063AF" w:rsidRDefault="00DA018D" w14:paraId="173D5142" w14:textId="77777777">
            <w:pPr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Pr="00DA018D" w:rsidR="00DA018D" w:rsidTr="16474749" w14:paraId="7EE561ED" w14:textId="77777777">
        <w:tc>
          <w:tcPr>
            <w:tcW w:w="1577" w:type="dxa"/>
            <w:tcMar/>
            <w:hideMark/>
            <w:tcPrChange w:author="Paul Courtright" w:date="2020-12-11T17:46:00Z" w:id="49">
              <w:tcPr>
                <w:tcW w:w="1627" w:type="dxa"/>
                <w:hideMark/>
              </w:tcPr>
            </w:tcPrChange>
          </w:tcPr>
          <w:p w:rsidRPr="00DA018D" w:rsidR="00DA018D" w:rsidP="00DA018D" w:rsidRDefault="00DA018D" w14:paraId="3FB7476D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Equipment and surfaces </w:t>
            </w:r>
          </w:p>
        </w:tc>
        <w:tc>
          <w:tcPr>
            <w:tcW w:w="5497" w:type="dxa"/>
            <w:tcMar/>
            <w:hideMark/>
            <w:tcPrChange w:author="Paul Courtright" w:date="2020-12-11T17:46:00Z" w:id="50">
              <w:tcPr>
                <w:tcW w:w="5298" w:type="dxa"/>
                <w:hideMark/>
              </w:tcPr>
            </w:tcPrChange>
          </w:tcPr>
          <w:p w:rsidRPr="00DA018D" w:rsidR="00DA018D" w:rsidP="00DA018D" w:rsidRDefault="00DA018D" w14:paraId="753BED9F" w14:textId="49167715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SOP establishes schedules for regular cleaning of equipment and surfaces, at least every 90 minutes, at the 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survey</w:t>
            </w:r>
            <w:r w:rsidRP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site:  </w:t>
            </w:r>
          </w:p>
          <w:p w:rsidRPr="00DA018D" w:rsidR="00DA018D" w:rsidP="000063AF" w:rsidRDefault="00DA018D" w14:paraId="1717E27A" w14:textId="1A8347FB">
            <w:pPr>
              <w:numPr>
                <w:ilvl w:val="0"/>
                <w:numId w:val="31"/>
              </w:numPr>
              <w:ind w:left="376" w:hanging="376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Any </w:t>
            </w:r>
            <w:r w:rsidR="00ED31BB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</w:t>
            </w:r>
            <w:r w:rsidRP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quipment and surfaces 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used for the survey </w:t>
            </w:r>
            <w:r w:rsidRP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should be cleaned with water and soap or a detergent, followed by a disinfectant; safe waste management protocols must be followed </w:t>
            </w:r>
          </w:p>
          <w:p w:rsidRPr="00DA018D" w:rsidR="00DA018D" w:rsidP="000063AF" w:rsidRDefault="00DA018D" w14:paraId="0A582396" w14:textId="77777777">
            <w:pPr>
              <w:numPr>
                <w:ilvl w:val="0"/>
                <w:numId w:val="31"/>
              </w:numPr>
              <w:ind w:left="376" w:hanging="376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For disinfection, use 70% ethyl alcohol for equipment and sodium hypochlorite at 0.1% (equivalent to 1000 ppm) for surfaces </w:t>
            </w:r>
          </w:p>
        </w:tc>
        <w:tc>
          <w:tcPr>
            <w:tcW w:w="1942" w:type="dxa"/>
            <w:tcMar/>
            <w:hideMark/>
            <w:tcPrChange w:author="Paul Courtright" w:date="2020-12-11T17:46:00Z" w:id="51">
              <w:tcPr>
                <w:tcW w:w="2091" w:type="dxa"/>
                <w:hideMark/>
              </w:tcPr>
            </w:tcPrChange>
          </w:tcPr>
          <w:p w:rsidRPr="00DA018D" w:rsidR="00DA018D" w:rsidP="00DA018D" w:rsidRDefault="00DA018D" w14:paraId="7259ECFC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</w:tc>
      </w:tr>
    </w:tbl>
    <w:p w:rsidR="001E25FA" w:rsidRDefault="001E25FA" w14:paraId="4863C8D6" w14:textId="508CC789">
      <w:pPr>
        <w:rPr>
          <w:b/>
          <w:bCs/>
        </w:rPr>
      </w:pPr>
    </w:p>
    <w:p w:rsidRPr="00DA018D" w:rsidR="00DA018D" w:rsidP="00DA018D" w:rsidRDefault="00DA018D" w14:paraId="11B9E6D8" w14:textId="029AF3BE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DA018D"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>Risk-mitigation advice for </w:t>
      </w:r>
      <w:r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>trainers and field teams (</w:t>
      </w:r>
      <w:proofErr w:type="gramStart"/>
      <w:r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>i.e.</w:t>
      </w:r>
      <w:proofErr w:type="gramEnd"/>
      <w:r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 xml:space="preserve"> </w:t>
      </w:r>
      <w:r w:rsidRPr="00DA018D"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>health staff</w:t>
      </w:r>
      <w:r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>)</w:t>
      </w:r>
    </w:p>
    <w:tbl>
      <w:tblPr>
        <w:tblW w:w="89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5580"/>
        <w:gridCol w:w="1883"/>
      </w:tblGrid>
      <w:tr w:rsidRPr="00DA018D" w:rsidR="00DA018D" w:rsidTr="16474749" w14:paraId="3FDA2AAA" w14:textId="77777777">
        <w:tc>
          <w:tcPr>
            <w:tcW w:w="1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A018D" w:rsidR="00DA018D" w:rsidP="16474749" w:rsidRDefault="00DA018D" w14:paraId="23D9B753" w14:textId="77777777" w14:noSpellErr="1">
            <w:pPr>
              <w:spacing w:after="0" w:line="240" w:lineRule="auto"/>
              <w:ind w:left="7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  <w:lang w:eastAsia="en-GB"/>
              </w:rPr>
              <w:t>Area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A018D" w:rsidR="00DA018D" w:rsidP="16474749" w:rsidRDefault="000063AF" w14:paraId="725AB03C" w14:textId="574B5F5E">
            <w:pPr>
              <w:spacing w:after="0" w:line="240" w:lineRule="auto"/>
              <w:ind w:left="9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  <w:lang w:eastAsia="en-GB"/>
              </w:rPr>
              <w:t>Considerations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A018D" w:rsidR="00DA018D" w:rsidP="16474749" w:rsidRDefault="00DA018D" w14:paraId="1C27D9C5" w14:textId="48568755">
            <w:pPr>
              <w:spacing w:after="0" w:line="240" w:lineRule="auto"/>
              <w:ind w:left="9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0063AF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Evaluator comment</w:t>
            </w:r>
          </w:p>
        </w:tc>
      </w:tr>
      <w:tr w:rsidRPr="00DA018D" w:rsidR="00DA018D" w:rsidTr="16474749" w14:paraId="19532BD4" w14:textId="77777777">
        <w:tc>
          <w:tcPr>
            <w:tcW w:w="15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A018D" w:rsidR="00DA018D" w:rsidP="16474749" w:rsidRDefault="00DA018D" w14:paraId="2FA39C44" w14:textId="77777777" w14:noSpellErr="1">
            <w:pPr>
              <w:spacing w:after="0" w:line="240" w:lineRule="auto"/>
              <w:ind w:left="7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Hand hygiene 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A018D" w:rsidR="00DA018D" w:rsidP="16474749" w:rsidRDefault="00DA018D" w14:paraId="32AEB4BF" w14:textId="77777777" w14:noSpellErr="1">
            <w:pPr>
              <w:numPr>
                <w:ilvl w:val="0"/>
                <w:numId w:val="32"/>
              </w:numPr>
              <w:spacing w:after="0" w:line="240" w:lineRule="auto"/>
              <w:ind w:left="540" w:hanging="450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SOP reinforces that hand hygiene should be performed often, even in absence of any physical contact with persons or surfaces </w:t>
            </w:r>
          </w:p>
          <w:p w:rsidRPr="00DA018D" w:rsidR="00DA018D" w:rsidP="16474749" w:rsidRDefault="00DA018D" w14:paraId="7358C745" w14:textId="35FA0C0B" w14:noSpellErr="1">
            <w:pPr>
              <w:numPr>
                <w:ilvl w:val="0"/>
                <w:numId w:val="32"/>
              </w:numPr>
              <w:spacing w:after="0" w:line="240" w:lineRule="auto"/>
              <w:ind w:left="540" w:hanging="450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SOP reinforces to always clean hands before and after physical contact with patients, 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especially 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after exposure to body fluids.  </w:t>
            </w:r>
          </w:p>
          <w:p w:rsidRPr="00DA018D" w:rsidR="00DA018D" w:rsidP="16474749" w:rsidRDefault="00DA018D" w14:paraId="2FE191A3" w14:textId="77777777" w14:noSpellErr="1">
            <w:pPr>
              <w:numPr>
                <w:ilvl w:val="0"/>
                <w:numId w:val="32"/>
              </w:numPr>
              <w:spacing w:after="0" w:line="240" w:lineRule="auto"/>
              <w:ind w:left="540" w:hanging="450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SOP reinforces use soap and water or hand sanitizer containing 60-80% alcohol or chlorinated water (water solution of sodium hypochlorite, 0.05%) </w:t>
            </w:r>
          </w:p>
          <w:p w:rsidRPr="00DA018D" w:rsidR="00DA018D" w:rsidP="16474749" w:rsidRDefault="00DA018D" w14:paraId="7B9CDF85" w14:textId="77777777" w14:noSpellErr="1">
            <w:pPr>
              <w:numPr>
                <w:ilvl w:val="0"/>
                <w:numId w:val="32"/>
              </w:numPr>
              <w:spacing w:after="0" w:line="240" w:lineRule="auto"/>
              <w:ind w:left="540" w:hanging="450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If needed, dry hands with a single-use paper towel or a clean cloth towel. Ensure proper disposal of any waste 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A018D" w:rsidR="00DA018D" w:rsidP="16474749" w:rsidRDefault="00DA018D" w14:paraId="4C37F231" w14:noSpellErr="1" w14:textId="398FD0E6">
            <w:pPr>
              <w:spacing w:after="0" w:line="240" w:lineRule="auto"/>
              <w:ind w:left="90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</w:p>
        </w:tc>
      </w:tr>
      <w:tr w:rsidRPr="00DA018D" w:rsidR="00DA018D" w:rsidTr="16474749" w14:paraId="48B29BD8" w14:textId="77777777">
        <w:tc>
          <w:tcPr>
            <w:tcW w:w="15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A018D" w:rsidR="00DA018D" w:rsidP="16474749" w:rsidRDefault="00DA018D" w14:paraId="26C51851" w14:textId="77777777" w14:noSpellErr="1">
            <w:pPr>
              <w:spacing w:after="0" w:line="240" w:lineRule="auto"/>
              <w:ind w:left="7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Personal protective equipment 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A018D" w:rsidR="00DA018D" w:rsidP="16474749" w:rsidRDefault="00DA018D" w14:paraId="7242AD05" w14:textId="170868C7" w14:noSpellErr="1">
            <w:pPr>
              <w:spacing w:after="0" w:line="240" w:lineRule="auto"/>
              <w:ind w:left="9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Masks </w:t>
            </w:r>
          </w:p>
          <w:p w:rsidRPr="001A1DF3" w:rsidR="00DA018D" w:rsidP="16474749" w:rsidRDefault="00DA018D" w14:paraId="7B82934A" w14:textId="0794D329" w14:noSpellErr="1">
            <w:pPr>
              <w:numPr>
                <w:ilvl w:val="0"/>
                <w:numId w:val="34"/>
              </w:numPr>
              <w:spacing w:after="0" w:line="240" w:lineRule="auto"/>
              <w:ind w:left="540" w:hanging="45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In areas 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u w:val="single"/>
                <w:lang w:eastAsia="en-GB"/>
              </w:rPr>
              <w:t>with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community transmission or with unknown transmission scenario: wearing a mask (medical or reusable cloth) is r</w:t>
            </w:r>
            <w:r w:rsidRPr="16474749" w:rsidR="001A1DF3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equired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DA018D" w:rsidR="00DA018D" w:rsidP="16474749" w:rsidRDefault="00DA018D" w14:paraId="5B596FA0" w14:textId="6A27EBC2" w14:noSpellErr="1">
            <w:pPr>
              <w:spacing w:after="0" w:line="240" w:lineRule="auto"/>
              <w:ind w:left="9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Gloves </w:t>
            </w:r>
          </w:p>
          <w:p w:rsidRPr="00DA018D" w:rsidR="00DA018D" w:rsidP="16474749" w:rsidRDefault="00AD573D" w14:paraId="111C33B4" w14:textId="0BE8C2D0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540" w:hanging="450"/>
              <w:textAlignment w:val="baseline"/>
              <w:rPr>
                <w:rFonts w:ascii="Calibri" w:hAnsi="Calibri" w:eastAsia="Times New Roman" w:cs="Calibri"/>
                <w:sz w:val="28"/>
                <w:szCs w:val="28"/>
                <w:lang w:eastAsia="en-GB"/>
              </w:rPr>
            </w:pPr>
            <w:r w:rsidRPr="16474749" w:rsidR="00AD573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National guidelines should be followed regarding the use of g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loves</w:t>
            </w:r>
            <w:r w:rsidRPr="16474749" w:rsidR="00AD573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by survey personnel</w:t>
            </w:r>
            <w:r w:rsidRPr="16474749" w:rsidR="00AD573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.  </w:t>
            </w:r>
            <w:r w:rsidRPr="16474749" w:rsidR="00AD573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If gloves are not mandatory, extra care should be taken in </w:t>
            </w:r>
            <w:r w:rsidRPr="16474749" w:rsidR="00AD573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cleaning and disinfection of hands between examination. 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DA018D" w:rsidR="00DA018D" w:rsidP="16474749" w:rsidRDefault="00AD573D" w14:paraId="01F84D6C" w14:textId="06C68F18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540" w:hanging="450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16474749" w:rsidR="00AD573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If g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loves </w:t>
            </w:r>
            <w:r w:rsidRPr="16474749" w:rsidR="00AD573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are used, they 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should be changed </w:t>
            </w:r>
            <w:r w:rsidRPr="16474749" w:rsidR="00AD573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either after each household is examined or after each person is examined, wh</w:t>
            </w:r>
            <w:r w:rsidRPr="16474749" w:rsidR="000E1A16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ere the survey pers</w:t>
            </w:r>
            <w:r w:rsidRPr="16474749" w:rsidR="000E1A16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onnel 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touches the skin of another person. Used gloves should be disposed of appropriately in a bin with a lid </w:t>
            </w:r>
          </w:p>
          <w:p w:rsidRPr="00DA018D" w:rsidR="00DA018D" w:rsidP="16474749" w:rsidRDefault="00DA018D" w14:paraId="2DBED139" w14:textId="77777777" w14:noSpellErr="1">
            <w:pPr>
              <w:spacing w:after="0" w:line="240" w:lineRule="auto"/>
              <w:ind w:left="9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  <w:p w:rsidRPr="00DA018D" w:rsidR="00DA018D" w:rsidP="16474749" w:rsidRDefault="00DE610E" w14:paraId="0C6D38E7" w14:textId="17964BE0">
            <w:pPr>
              <w:spacing w:after="0" w:line="240" w:lineRule="auto"/>
              <w:ind w:left="9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E610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Eye Protection (Fac</w:t>
            </w:r>
            <w:r w:rsidRPr="16474749" w:rsidR="000E1A16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</w:t>
            </w:r>
            <w:r w:rsidRPr="16474749" w:rsidR="00DE610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shield</w:t>
            </w:r>
            <w:r w:rsidRPr="16474749" w:rsidR="00DE610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)</w:t>
            </w:r>
          </w:p>
          <w:p w:rsidRPr="00DA018D" w:rsidR="00DA018D" w:rsidP="16474749" w:rsidRDefault="00DA018D" w14:paraId="2B465211" w14:textId="65DECAA0">
            <w:pPr>
              <w:numPr>
                <w:ilvl w:val="0"/>
                <w:numId w:val="36"/>
              </w:numPr>
              <w:spacing w:after="0" w:line="240" w:lineRule="auto"/>
              <w:ind w:left="540" w:hanging="45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The use of </w:t>
            </w:r>
            <w:r w:rsidRPr="16474749" w:rsidR="00DE610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eye protection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may be</w:t>
            </w:r>
            <w:r w:rsidRPr="16474749" w:rsidR="00DE610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required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where examiners are required to be 20-30 cm from the face.  (e.g., surveys that require </w:t>
            </w:r>
            <w:r w:rsidRPr="16474749" w:rsidR="00ED31BB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everting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eyelids to examine the </w:t>
            </w:r>
            <w:r w:rsidRPr="16474749" w:rsidR="000063AF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eye)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A018D" w:rsidR="00DA018D" w:rsidP="16474749" w:rsidRDefault="00DA018D" w14:paraId="43C71D0F" w14:textId="77777777" w14:noSpellErr="1">
            <w:pPr>
              <w:spacing w:after="0" w:line="240" w:lineRule="auto"/>
              <w:ind w:left="9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</w:tc>
      </w:tr>
      <w:tr w:rsidRPr="00DA018D" w:rsidR="00DA018D" w:rsidTr="16474749" w14:paraId="03470B3B" w14:textId="77777777">
        <w:tc>
          <w:tcPr>
            <w:tcW w:w="15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A018D" w:rsidR="00DA018D" w:rsidP="16474749" w:rsidRDefault="00DA018D" w14:paraId="7DB357D2" w14:textId="77777777" w14:noSpellErr="1">
            <w:pPr>
              <w:spacing w:after="0" w:line="240" w:lineRule="auto"/>
              <w:ind w:left="7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Waste collection and management 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A018D" w:rsidR="00DA018D" w:rsidP="16474749" w:rsidRDefault="00DA018D" w14:paraId="643CFBD0" w14:textId="2F077CE1" w14:noSpellErr="1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240" w:lineRule="auto"/>
              <w:ind w:left="540" w:hanging="450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SOP ensures safe collection (e.g.</w:t>
            </w:r>
            <w:r w:rsidRPr="16474749" w:rsidR="0054277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,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in open-lid bins) and adequate packing (e.g.</w:t>
            </w:r>
            <w:r w:rsidRPr="16474749" w:rsidR="0054277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,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in strong, leak-proof, closed bags) of any waste generated by the planned </w:t>
            </w:r>
            <w:r w:rsidRPr="16474749" w:rsidR="00DE610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survey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, and their disposal according to national rules and regulations  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A018D" w:rsidR="00DA018D" w:rsidP="16474749" w:rsidRDefault="00DA018D" w14:paraId="12954364" w14:textId="44AB061F" w14:noSpellErr="1">
            <w:pPr>
              <w:spacing w:after="0" w:line="240" w:lineRule="auto"/>
              <w:ind w:left="90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</w:p>
        </w:tc>
      </w:tr>
    </w:tbl>
    <w:p w:rsidRPr="00DA018D" w:rsidR="00DA018D" w:rsidP="00DA018D" w:rsidRDefault="00DA018D" w14:paraId="578676E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DA018D">
        <w:rPr>
          <w:rFonts w:ascii="Calibri" w:hAnsi="Calibri" w:eastAsia="Times New Roman" w:cs="Calibri"/>
          <w:color w:val="000000"/>
          <w:sz w:val="27"/>
          <w:szCs w:val="27"/>
          <w:lang w:eastAsia="en-GB"/>
        </w:rPr>
        <w:t> </w:t>
      </w:r>
    </w:p>
    <w:p w:rsidRPr="00DA018D" w:rsidR="00DA018D" w:rsidP="00DA018D" w:rsidRDefault="00DA018D" w14:paraId="5C8B622B" w14:textId="5DBEE56F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DA018D"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 xml:space="preserve">Risk-mitigation advice for the population targeted by the </w:t>
      </w:r>
      <w:r w:rsidR="00ED31BB"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>s</w:t>
      </w:r>
      <w:r w:rsidR="00DE610E">
        <w:rPr>
          <w:rFonts w:ascii="Calibri" w:hAnsi="Calibri" w:eastAsia="Times New Roman" w:cs="Calibri"/>
          <w:b/>
          <w:bCs/>
          <w:sz w:val="24"/>
          <w:szCs w:val="24"/>
          <w:lang w:eastAsia="en-GB"/>
        </w:rPr>
        <w:t>urvey</w:t>
      </w:r>
    </w:p>
    <w:tbl>
      <w:tblPr>
        <w:tblW w:w="89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5138"/>
        <w:gridCol w:w="1901"/>
      </w:tblGrid>
      <w:tr w:rsidRPr="00DA018D" w:rsidR="00DA018D" w:rsidTr="16474749" w14:paraId="369C89BA" w14:textId="77777777">
        <w:tc>
          <w:tcPr>
            <w:tcW w:w="1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  <w:tcPrChange w:author="Paul Courtright" w:date="2020-12-11T18:03:00Z" w:id="99">
              <w:tcPr>
                <w:tcW w:w="1803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shd w:val="clear" w:color="auto" w:fill="auto"/>
                <w:hideMark/>
              </w:tcPr>
            </w:tcPrChange>
          </w:tcPr>
          <w:p w:rsidRPr="00DA018D" w:rsidR="00DA018D" w:rsidP="16474749" w:rsidRDefault="00DA018D" w14:paraId="6A41E096" w14:textId="77777777" w14:noSpellErr="1">
            <w:pPr>
              <w:spacing w:after="0" w:line="240" w:lineRule="auto"/>
              <w:ind w:left="75" w:right="7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  <w:lang w:eastAsia="en-GB"/>
              </w:rPr>
              <w:t>Area 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  <w:tcPrChange w:author="Paul Courtright" w:date="2020-12-11T18:03:00Z" w:id="101">
              <w:tcPr>
                <w:tcW w:w="5299" w:type="dxa"/>
                <w:tcBorders>
                  <w:top w:val="single" w:color="auto" w:sz="6" w:space="0"/>
                  <w:left w:val="nil"/>
                  <w:bottom w:val="single" w:color="auto" w:sz="6" w:space="0"/>
                  <w:right w:val="single" w:color="auto" w:sz="6" w:space="0"/>
                </w:tcBorders>
                <w:shd w:val="clear" w:color="auto" w:fill="auto"/>
                <w:hideMark/>
              </w:tcPr>
            </w:tcPrChange>
          </w:tcPr>
          <w:p w:rsidRPr="00DA018D" w:rsidR="00DA018D" w:rsidP="16474749" w:rsidRDefault="00DA018D" w14:paraId="7C51D9F1" w14:textId="77777777" w14:noSpellErr="1">
            <w:pPr>
              <w:spacing w:after="0" w:line="240" w:lineRule="auto"/>
              <w:ind w:left="106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  <w:lang w:eastAsia="en-GB"/>
              </w:rPr>
              <w:t>Considerations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  <w:tcPrChange w:author="Paul Courtright" w:date="2020-12-11T18:03:00Z" w:id="103">
              <w:tcPr>
                <w:tcW w:w="1898" w:type="dxa"/>
                <w:tcBorders>
                  <w:top w:val="single" w:color="auto" w:sz="6" w:space="0"/>
                  <w:left w:val="nil"/>
                  <w:bottom w:val="single" w:color="auto" w:sz="6" w:space="0"/>
                  <w:right w:val="single" w:color="auto" w:sz="6" w:space="0"/>
                </w:tcBorders>
                <w:shd w:val="clear" w:color="auto" w:fill="auto"/>
                <w:hideMark/>
              </w:tcPr>
            </w:tcPrChange>
          </w:tcPr>
          <w:p w:rsidRPr="00DA018D" w:rsidR="00DA018D" w:rsidP="16474749" w:rsidRDefault="00DA018D" w14:paraId="6B22F1A0" w14:textId="77777777" w14:noSpellErr="1">
            <w:pPr>
              <w:spacing w:after="0" w:line="240" w:lineRule="auto"/>
              <w:ind w:left="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b w:val="1"/>
                <w:bCs w:val="1"/>
                <w:sz w:val="24"/>
                <w:szCs w:val="24"/>
                <w:lang w:eastAsia="en-GB"/>
              </w:rPr>
              <w:t>Evaluator Comments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</w:tc>
      </w:tr>
      <w:tr w:rsidRPr="00DA018D" w:rsidR="00DA018D" w:rsidTr="16474749" w14:paraId="3A54BB3E" w14:textId="77777777">
        <w:tc>
          <w:tcPr>
            <w:tcW w:w="19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  <w:tcPrChange w:author="Paul Courtright" w:date="2020-12-11T18:03:00Z" w:id="105">
              <w:tcPr>
                <w:tcW w:w="1803" w:type="dxa"/>
                <w:tcBorders>
                  <w:top w:val="nil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shd w:val="clear" w:color="auto" w:fill="auto"/>
                <w:hideMark/>
              </w:tcPr>
            </w:tcPrChange>
          </w:tcPr>
          <w:p w:rsidRPr="00DA018D" w:rsidR="00DA018D" w:rsidP="16474749" w:rsidRDefault="00DA018D" w14:paraId="2E5C6F20" w14:textId="00CE0457" w14:noSpellErr="1">
            <w:pPr>
              <w:spacing w:after="0" w:line="240" w:lineRule="auto"/>
              <w:ind w:left="75" w:right="7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Participation in the planned </w:t>
            </w:r>
            <w:r w:rsidRPr="16474749" w:rsidR="00DE610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survey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  <w:tcPrChange w:author="Paul Courtright" w:date="2020-12-11T18:03:00Z" w:id="107">
              <w:tcPr>
                <w:tcW w:w="5299" w:type="dxa"/>
                <w:tcBorders>
                  <w:top w:val="nil"/>
                  <w:left w:val="nil"/>
                  <w:bottom w:val="single" w:color="auto" w:sz="6" w:space="0"/>
                  <w:right w:val="single" w:color="auto" w:sz="6" w:space="0"/>
                </w:tcBorders>
                <w:shd w:val="clear" w:color="auto" w:fill="auto"/>
                <w:hideMark/>
              </w:tcPr>
            </w:tcPrChange>
          </w:tcPr>
          <w:p w:rsidRPr="00DA018D" w:rsidR="00DA018D" w:rsidP="16474749" w:rsidRDefault="00DA018D" w14:paraId="2B1FEE33" w14:textId="2F7FBB88" w14:noSpellErr="1">
            <w:pPr>
              <w:numPr>
                <w:ilvl w:val="0"/>
                <w:numId w:val="43"/>
              </w:numPr>
              <w:spacing w:after="0" w:line="240" w:lineRule="auto"/>
              <w:ind w:left="556" w:hanging="450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Advise people with higher risk of transmitting COVID-19 that they should not participate in the planned </w:t>
            </w:r>
            <w:r w:rsidRPr="16474749" w:rsidR="00DE610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survey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 </w:t>
            </w:r>
          </w:p>
          <w:p w:rsidRPr="00DA018D" w:rsidR="00DA018D" w:rsidP="16474749" w:rsidRDefault="00DA018D" w14:paraId="0301F0A0" w14:textId="3D567800">
            <w:pPr>
              <w:numPr>
                <w:ilvl w:val="0"/>
                <w:numId w:val="45"/>
              </w:numPr>
              <w:tabs>
                <w:tab w:val="clear" w:pos="720"/>
                <w:tab w:val="num" w:pos="916"/>
              </w:tabs>
              <w:spacing w:after="0" w:line="240" w:lineRule="auto"/>
              <w:ind w:left="916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People at higher risk include those with symptoms suggestive of COVID-19 and contacts of COVID-19 cases during their period of quarantine (in the cases of activities implemented in areas without known/suspected community transmission, also people coming from countries/areas with known/</w:t>
            </w:r>
            <w:r w:rsidRPr="16474749" w:rsidR="0054277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suspected</w:t>
            </w:r>
            <w:r w:rsidRPr="16474749" w:rsidR="0054277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community transmission of COVID-19 less than 14 days before may be added) </w:t>
            </w:r>
          </w:p>
          <w:p w:rsidR="000063AF" w:rsidP="16474749" w:rsidRDefault="00DA018D" w14:paraId="2E74B247" w14:textId="77777777" w14:noSpellErr="1">
            <w:pPr>
              <w:numPr>
                <w:ilvl w:val="0"/>
                <w:numId w:val="45"/>
              </w:numPr>
              <w:tabs>
                <w:tab w:val="clear" w:pos="720"/>
                <w:tab w:val="num" w:pos="916"/>
              </w:tabs>
              <w:spacing w:after="0" w:line="240" w:lineRule="auto"/>
              <w:ind w:left="916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People with symptoms suggestive of COVID-19 should be advised to seek appropriate care, according to national rules and regulations </w:t>
            </w:r>
          </w:p>
          <w:p w:rsidRPr="00DA018D" w:rsidR="00DA018D" w:rsidP="16474749" w:rsidRDefault="00DA018D" w14:paraId="7C78D249" w14:textId="55335C9C" w14:noSpellErr="1">
            <w:pPr>
              <w:spacing w:after="0" w:line="240" w:lineRule="auto"/>
              <w:ind w:left="106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 </w:t>
            </w:r>
          </w:p>
          <w:p w:rsidRPr="00DA018D" w:rsidR="00DA018D" w:rsidP="16474749" w:rsidRDefault="00DA018D" w14:paraId="42282226" w14:textId="024B6D4B" w14:noSpellErr="1">
            <w:pPr>
              <w:numPr>
                <w:ilvl w:val="0"/>
                <w:numId w:val="43"/>
              </w:numPr>
              <w:spacing w:after="0" w:line="240" w:lineRule="auto"/>
              <w:ind w:left="556" w:hanging="450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Inform people with higher risk of developing severe illness from COVID-19 of the implications of such status, of the special precautions that may be taken in their regard, and that they should strictly follow basic preventive measures when/if participating in the planned </w:t>
            </w:r>
            <w:r w:rsidRPr="16474749" w:rsidR="00DE610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survey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 </w:t>
            </w:r>
          </w:p>
          <w:p w:rsidRPr="00DA018D" w:rsidR="00DA018D" w:rsidP="16474749" w:rsidRDefault="00DA018D" w14:paraId="18B2DE4E" w14:textId="77777777" w14:noSpellErr="1">
            <w:pPr>
              <w:numPr>
                <w:ilvl w:val="0"/>
                <w:numId w:val="46"/>
              </w:numPr>
              <w:spacing w:after="0" w:line="240" w:lineRule="auto"/>
              <w:ind w:left="1006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People at higher risk include those aged ≥60 years or with pre-existing medical conditions such as cardiovascular disease, hypertension, diabetes mellitus, chronic lung or kidney disease, cancer, cerebrovascular disease, haematologic disorders, immunosuppression, etc.) </w:t>
            </w:r>
          </w:p>
          <w:p w:rsidRPr="00DA018D" w:rsidR="00DA018D" w:rsidP="16474749" w:rsidRDefault="00DA018D" w14:paraId="2107094A" w14:textId="4FC6056C">
            <w:pPr>
              <w:numPr>
                <w:ilvl w:val="0"/>
                <w:numId w:val="46"/>
              </w:numPr>
              <w:spacing w:after="0" w:line="240" w:lineRule="auto"/>
              <w:ind w:left="1006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People at higher risk should not be asked to reach the </w:t>
            </w:r>
            <w:r w:rsidRPr="16474749" w:rsidR="00DE610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survey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site but rather be </w:t>
            </w:r>
            <w:r w:rsidRPr="16474749" w:rsidR="0054277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surveyed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at home by health staff/community health workers   </w:t>
            </w:r>
          </w:p>
          <w:p w:rsidRPr="00DA018D" w:rsidR="00DA018D" w:rsidP="16474749" w:rsidRDefault="00DA018D" w14:paraId="25FC2324" w14:textId="7F74AE5C" w14:noSpellErr="1">
            <w:pPr>
              <w:numPr>
                <w:ilvl w:val="0"/>
                <w:numId w:val="46"/>
              </w:numPr>
              <w:spacing w:after="0" w:line="240" w:lineRule="auto"/>
              <w:ind w:left="1006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If the </w:t>
            </w:r>
            <w:r w:rsidRPr="16474749" w:rsidR="00ED31BB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survey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 is implemented at dedicated sites, if feasible, exclusive/dedicated examination/interview sessions should be established for such higher-risk groups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  <w:tcPrChange w:author="Paul Courtright" w:date="2020-12-11T18:03:00Z" w:id="121">
              <w:tcPr>
                <w:tcW w:w="1898" w:type="dxa"/>
                <w:tcBorders>
                  <w:top w:val="nil"/>
                  <w:left w:val="nil"/>
                  <w:bottom w:val="single" w:color="auto" w:sz="6" w:space="0"/>
                  <w:right w:val="single" w:color="auto" w:sz="6" w:space="0"/>
                </w:tcBorders>
                <w:shd w:val="clear" w:color="auto" w:fill="auto"/>
                <w:hideMark/>
              </w:tcPr>
            </w:tcPrChange>
          </w:tcPr>
          <w:p w:rsidRPr="00DA018D" w:rsidR="00DA018D" w:rsidP="16474749" w:rsidRDefault="00DA018D" w14:paraId="54DCEBF3" w14:textId="77777777" w14:noSpellErr="1">
            <w:pPr>
              <w:spacing w:after="0" w:line="240" w:lineRule="auto"/>
              <w:ind w:left="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</w:tc>
      </w:tr>
      <w:tr w:rsidRPr="00DA018D" w:rsidR="00DA018D" w:rsidTr="16474749" w14:paraId="194F07EA" w14:textId="77777777">
        <w:tc>
          <w:tcPr>
            <w:tcW w:w="19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  <w:tcPrChange w:author="Paul Courtright" w:date="2020-12-11T18:03:00Z" w:id="123">
              <w:tcPr>
                <w:tcW w:w="1803" w:type="dxa"/>
                <w:tcBorders>
                  <w:top w:val="nil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shd w:val="clear" w:color="auto" w:fill="auto"/>
                <w:hideMark/>
              </w:tcPr>
            </w:tcPrChange>
          </w:tcPr>
          <w:p w:rsidRPr="00DA018D" w:rsidR="00DA018D" w:rsidP="16474749" w:rsidRDefault="00DA018D" w14:paraId="5FA01DED" w14:textId="77777777" w14:noSpellErr="1">
            <w:pPr>
              <w:spacing w:after="0" w:line="240" w:lineRule="auto"/>
              <w:ind w:left="75" w:right="7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Personal protective equipment (public use) </w:t>
            </w:r>
          </w:p>
        </w:tc>
        <w:tc>
          <w:tcPr>
            <w:tcW w:w="5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  <w:tcPrChange w:author="Paul Courtright" w:date="2020-12-11T18:03:00Z" w:id="125">
              <w:tcPr>
                <w:tcW w:w="5299" w:type="dxa"/>
                <w:tcBorders>
                  <w:top w:val="nil"/>
                  <w:left w:val="nil"/>
                  <w:bottom w:val="single" w:color="auto" w:sz="6" w:space="0"/>
                  <w:right w:val="single" w:color="auto" w:sz="6" w:space="0"/>
                </w:tcBorders>
                <w:shd w:val="clear" w:color="auto" w:fill="auto"/>
                <w:tcMar/>
                <w:hideMark/>
              </w:tcPr>
            </w:tcPrChange>
          </w:tcPr>
          <w:p w:rsidRPr="00DA018D" w:rsidR="00DA018D" w:rsidP="16474749" w:rsidRDefault="00DA018D" w14:paraId="1CA8F639" w14:textId="0BD2DC1C" w14:noSpellErr="1">
            <w:pPr>
              <w:spacing w:after="0" w:line="240" w:lineRule="auto"/>
              <w:ind w:left="106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 xml:space="preserve">In areas with known/suspected community transmission, encourage the use of masks during the planned </w:t>
            </w:r>
            <w:r w:rsidRPr="16474749" w:rsidR="00DE610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survey</w:t>
            </w: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, especially if physical distancing cannot be achieved:  </w:t>
            </w:r>
          </w:p>
          <w:p w:rsidRPr="00DA018D" w:rsidR="00DA018D" w:rsidP="16474749" w:rsidRDefault="00DA018D" w14:paraId="661D7101" w14:textId="34E2D6FF">
            <w:pPr>
              <w:numPr>
                <w:ilvl w:val="0"/>
                <w:numId w:val="44"/>
              </w:numPr>
              <w:spacing w:after="0" w:line="240" w:lineRule="auto"/>
              <w:ind w:left="556" w:hanging="45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Non-medical (fabric/cloth) masks for the general population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  <w:tcPrChange w:author="Paul Courtright" w:date="2020-12-11T18:03:00Z" w:id="131">
              <w:tcPr>
                <w:tcW w:w="1898" w:type="dxa"/>
                <w:tcBorders>
                  <w:top w:val="nil"/>
                  <w:left w:val="nil"/>
                  <w:bottom w:val="single" w:color="auto" w:sz="6" w:space="0"/>
                  <w:right w:val="single" w:color="auto" w:sz="6" w:space="0"/>
                </w:tcBorders>
                <w:shd w:val="clear" w:color="auto" w:fill="auto"/>
                <w:hideMark/>
              </w:tcPr>
            </w:tcPrChange>
          </w:tcPr>
          <w:p w:rsidRPr="00DA018D" w:rsidR="00DA018D" w:rsidP="16474749" w:rsidRDefault="00DA018D" w14:paraId="128527A8" w14:textId="18A6F82E" w14:noSpellErr="1">
            <w:pPr>
              <w:spacing w:after="0" w:line="240" w:lineRule="auto"/>
              <w:ind w:left="3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6474749" w:rsidR="00DA018D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 </w:t>
            </w:r>
          </w:p>
        </w:tc>
      </w:tr>
    </w:tbl>
    <w:p w:rsidRPr="00DA018D" w:rsidR="00DA018D" w:rsidP="00DA018D" w:rsidRDefault="00DA018D" w14:paraId="07EF521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DA018D">
        <w:rPr>
          <w:rFonts w:ascii="Calibri" w:hAnsi="Calibri" w:eastAsia="Times New Roman" w:cs="Calibri"/>
          <w:color w:val="000000"/>
          <w:sz w:val="27"/>
          <w:szCs w:val="27"/>
          <w:lang w:eastAsia="en-GB"/>
        </w:rPr>
        <w:t> </w:t>
      </w:r>
    </w:p>
    <w:p w:rsidRPr="00DA018D" w:rsidR="00DA018D" w:rsidP="00DA018D" w:rsidRDefault="00DA018D" w14:paraId="0B8CFB6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DA018D">
        <w:rPr>
          <w:rFonts w:ascii="Calibri" w:hAnsi="Calibri" w:eastAsia="Times New Roman" w:cs="Calibri"/>
          <w:color w:val="000000"/>
          <w:sz w:val="27"/>
          <w:szCs w:val="27"/>
          <w:lang w:eastAsia="en-GB"/>
        </w:rPr>
        <w:t> </w:t>
      </w:r>
    </w:p>
    <w:p w:rsidR="00DA018D" w:rsidRDefault="00DA018D" w14:paraId="43CFA1D2" w14:textId="77777777">
      <w:pPr>
        <w:rPr>
          <w:b/>
          <w:bCs/>
        </w:rPr>
      </w:pPr>
    </w:p>
    <w:sectPr w:rsidR="00DA01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6A41" w:rsidP="007B2D7F" w:rsidRDefault="00846A41" w14:paraId="597509F3" w14:textId="77777777">
      <w:pPr>
        <w:spacing w:after="0" w:line="240" w:lineRule="auto"/>
      </w:pPr>
      <w:r>
        <w:separator/>
      </w:r>
    </w:p>
  </w:endnote>
  <w:endnote w:type="continuationSeparator" w:id="0">
    <w:p w:rsidR="00846A41" w:rsidP="007B2D7F" w:rsidRDefault="00846A41" w14:paraId="2A2D37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3F34" w:rsidRDefault="00B63F34" w14:paraId="26600E1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9807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D7F" w:rsidRDefault="007B2D7F" w14:paraId="5C81DDDD" w14:textId="349FC4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D7F" w:rsidRDefault="007B2D7F" w14:paraId="1F84156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3F34" w:rsidRDefault="00B63F34" w14:paraId="18923D8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6A41" w:rsidP="007B2D7F" w:rsidRDefault="00846A41" w14:paraId="0831BA1A" w14:textId="77777777">
      <w:pPr>
        <w:spacing w:after="0" w:line="240" w:lineRule="auto"/>
      </w:pPr>
      <w:r>
        <w:separator/>
      </w:r>
    </w:p>
  </w:footnote>
  <w:footnote w:type="continuationSeparator" w:id="0">
    <w:p w:rsidR="00846A41" w:rsidP="007B2D7F" w:rsidRDefault="00846A41" w14:paraId="50CE60C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3F34" w:rsidRDefault="00B63F34" w14:paraId="0395B96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6445784"/>
      <w:docPartObj>
        <w:docPartGallery w:val="Watermarks"/>
        <w:docPartUnique/>
      </w:docPartObj>
    </w:sdtPr>
    <w:sdtEndPr/>
    <w:sdtContent>
      <w:p w:rsidR="00B63F34" w:rsidRDefault="00846A41" w14:paraId="79E30216" w14:textId="25D4B27C">
        <w:pPr>
          <w:pStyle w:val="Header"/>
        </w:pPr>
        <w:r>
          <w:rPr>
            <w:noProof/>
          </w:rPr>
          <w:pict w14:anchorId="6CC09C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alt="" o:spid="_x0000_s2049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3F34" w:rsidRDefault="00B63F34" w14:paraId="4895C74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044A"/>
    <w:multiLevelType w:val="multilevel"/>
    <w:tmpl w:val="940C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4887F21"/>
    <w:multiLevelType w:val="hybridMultilevel"/>
    <w:tmpl w:val="341097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58D2EE3"/>
    <w:multiLevelType w:val="hybridMultilevel"/>
    <w:tmpl w:val="0796728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8780309"/>
    <w:multiLevelType w:val="multilevel"/>
    <w:tmpl w:val="57AA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C497FE0"/>
    <w:multiLevelType w:val="hybridMultilevel"/>
    <w:tmpl w:val="63B482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CC7E7A"/>
    <w:multiLevelType w:val="hybridMultilevel"/>
    <w:tmpl w:val="D15E87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255730"/>
    <w:multiLevelType w:val="hybridMultilevel"/>
    <w:tmpl w:val="47A871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5D654CC"/>
    <w:multiLevelType w:val="multilevel"/>
    <w:tmpl w:val="A406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62A7732"/>
    <w:multiLevelType w:val="multilevel"/>
    <w:tmpl w:val="30327A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655628A"/>
    <w:multiLevelType w:val="hybridMultilevel"/>
    <w:tmpl w:val="2F1A5B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F8C6B0C"/>
    <w:multiLevelType w:val="multilevel"/>
    <w:tmpl w:val="DF64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2164F7D"/>
    <w:multiLevelType w:val="multilevel"/>
    <w:tmpl w:val="8ED8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27221FF"/>
    <w:multiLevelType w:val="hybridMultilevel"/>
    <w:tmpl w:val="79088F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13A2A"/>
    <w:multiLevelType w:val="hybridMultilevel"/>
    <w:tmpl w:val="BBBCCC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585089A"/>
    <w:multiLevelType w:val="hybridMultilevel"/>
    <w:tmpl w:val="339AFD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B2D0B9A"/>
    <w:multiLevelType w:val="multilevel"/>
    <w:tmpl w:val="653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BF34361"/>
    <w:multiLevelType w:val="multilevel"/>
    <w:tmpl w:val="5A68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2DE56807"/>
    <w:multiLevelType w:val="multilevel"/>
    <w:tmpl w:val="352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F2B4FE9"/>
    <w:multiLevelType w:val="multilevel"/>
    <w:tmpl w:val="AA26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2FEC365B"/>
    <w:multiLevelType w:val="multilevel"/>
    <w:tmpl w:val="211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301A0641"/>
    <w:multiLevelType w:val="hybridMultilevel"/>
    <w:tmpl w:val="470E421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1C628A2"/>
    <w:multiLevelType w:val="multilevel"/>
    <w:tmpl w:val="00B4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34CE06AD"/>
    <w:multiLevelType w:val="hybridMultilevel"/>
    <w:tmpl w:val="97EA5A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647118A"/>
    <w:multiLevelType w:val="hybridMultilevel"/>
    <w:tmpl w:val="FF947A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76F63F5"/>
    <w:multiLevelType w:val="multilevel"/>
    <w:tmpl w:val="E492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0345C9E"/>
    <w:multiLevelType w:val="hybridMultilevel"/>
    <w:tmpl w:val="B7A27B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036082E"/>
    <w:multiLevelType w:val="hybridMultilevel"/>
    <w:tmpl w:val="574218F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A1A7DC1"/>
    <w:multiLevelType w:val="hybridMultilevel"/>
    <w:tmpl w:val="CA70D4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B0A1607"/>
    <w:multiLevelType w:val="multilevel"/>
    <w:tmpl w:val="856C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51600DD2"/>
    <w:multiLevelType w:val="hybridMultilevel"/>
    <w:tmpl w:val="D2F6C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E31CF"/>
    <w:multiLevelType w:val="multilevel"/>
    <w:tmpl w:val="0284E2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54190AA8"/>
    <w:multiLevelType w:val="hybridMultilevel"/>
    <w:tmpl w:val="47920B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4F335D7"/>
    <w:multiLevelType w:val="multilevel"/>
    <w:tmpl w:val="6C1E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56815938"/>
    <w:multiLevelType w:val="multilevel"/>
    <w:tmpl w:val="2988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5895194B"/>
    <w:multiLevelType w:val="hybridMultilevel"/>
    <w:tmpl w:val="B25E39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5A595B9C"/>
    <w:multiLevelType w:val="hybridMultilevel"/>
    <w:tmpl w:val="147C34A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5AFF356C"/>
    <w:multiLevelType w:val="hybridMultilevel"/>
    <w:tmpl w:val="D34C88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5B785D77"/>
    <w:multiLevelType w:val="multilevel"/>
    <w:tmpl w:val="AF4A5E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" w15:restartNumberingAfterBreak="0">
    <w:nsid w:val="6348070F"/>
    <w:multiLevelType w:val="multilevel"/>
    <w:tmpl w:val="D6C0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65401E8B"/>
    <w:multiLevelType w:val="hybridMultilevel"/>
    <w:tmpl w:val="07BE66E6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0" w15:restartNumberingAfterBreak="0">
    <w:nsid w:val="6AC01494"/>
    <w:multiLevelType w:val="hybridMultilevel"/>
    <w:tmpl w:val="F124AC4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76142511"/>
    <w:multiLevelType w:val="hybridMultilevel"/>
    <w:tmpl w:val="6D5A8E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30E87"/>
    <w:multiLevelType w:val="multilevel"/>
    <w:tmpl w:val="178C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7BB05439"/>
    <w:multiLevelType w:val="multilevel"/>
    <w:tmpl w:val="A56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7D3D6807"/>
    <w:multiLevelType w:val="hybridMultilevel"/>
    <w:tmpl w:val="649E58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7D643B16"/>
    <w:multiLevelType w:val="hybridMultilevel"/>
    <w:tmpl w:val="C444F7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2"/>
  </w:num>
  <w:num w:numId="3">
    <w:abstractNumId w:val="25"/>
  </w:num>
  <w:num w:numId="4">
    <w:abstractNumId w:val="4"/>
  </w:num>
  <w:num w:numId="5">
    <w:abstractNumId w:val="36"/>
  </w:num>
  <w:num w:numId="6">
    <w:abstractNumId w:val="45"/>
  </w:num>
  <w:num w:numId="7">
    <w:abstractNumId w:val="35"/>
  </w:num>
  <w:num w:numId="8">
    <w:abstractNumId w:val="9"/>
  </w:num>
  <w:num w:numId="9">
    <w:abstractNumId w:val="6"/>
  </w:num>
  <w:num w:numId="10">
    <w:abstractNumId w:val="27"/>
  </w:num>
  <w:num w:numId="11">
    <w:abstractNumId w:val="44"/>
  </w:num>
  <w:num w:numId="12">
    <w:abstractNumId w:val="1"/>
  </w:num>
  <w:num w:numId="13">
    <w:abstractNumId w:val="22"/>
  </w:num>
  <w:num w:numId="14">
    <w:abstractNumId w:val="31"/>
  </w:num>
  <w:num w:numId="15">
    <w:abstractNumId w:val="13"/>
  </w:num>
  <w:num w:numId="16">
    <w:abstractNumId w:val="26"/>
  </w:num>
  <w:num w:numId="17">
    <w:abstractNumId w:val="2"/>
  </w:num>
  <w:num w:numId="18">
    <w:abstractNumId w:val="40"/>
  </w:num>
  <w:num w:numId="19">
    <w:abstractNumId w:val="41"/>
  </w:num>
  <w:num w:numId="20">
    <w:abstractNumId w:val="34"/>
  </w:num>
  <w:num w:numId="21">
    <w:abstractNumId w:val="20"/>
  </w:num>
  <w:num w:numId="22">
    <w:abstractNumId w:val="39"/>
  </w:num>
  <w:num w:numId="23">
    <w:abstractNumId w:val="14"/>
  </w:num>
  <w:num w:numId="24">
    <w:abstractNumId w:val="5"/>
  </w:num>
  <w:num w:numId="25">
    <w:abstractNumId w:val="23"/>
  </w:num>
  <w:num w:numId="26">
    <w:abstractNumId w:val="32"/>
  </w:num>
  <w:num w:numId="27">
    <w:abstractNumId w:val="21"/>
  </w:num>
  <w:num w:numId="28">
    <w:abstractNumId w:val="37"/>
  </w:num>
  <w:num w:numId="29">
    <w:abstractNumId w:val="24"/>
  </w:num>
  <w:num w:numId="30">
    <w:abstractNumId w:val="43"/>
  </w:num>
  <w:num w:numId="31">
    <w:abstractNumId w:val="42"/>
  </w:num>
  <w:num w:numId="32">
    <w:abstractNumId w:val="16"/>
  </w:num>
  <w:num w:numId="33">
    <w:abstractNumId w:val="11"/>
  </w:num>
  <w:num w:numId="34">
    <w:abstractNumId w:val="3"/>
  </w:num>
  <w:num w:numId="35">
    <w:abstractNumId w:val="15"/>
  </w:num>
  <w:num w:numId="36">
    <w:abstractNumId w:val="28"/>
  </w:num>
  <w:num w:numId="37">
    <w:abstractNumId w:val="0"/>
  </w:num>
  <w:num w:numId="38">
    <w:abstractNumId w:val="18"/>
  </w:num>
  <w:num w:numId="39">
    <w:abstractNumId w:val="7"/>
  </w:num>
  <w:num w:numId="40">
    <w:abstractNumId w:val="38"/>
  </w:num>
  <w:num w:numId="41">
    <w:abstractNumId w:val="19"/>
  </w:num>
  <w:num w:numId="42">
    <w:abstractNumId w:val="33"/>
  </w:num>
  <w:num w:numId="43">
    <w:abstractNumId w:val="10"/>
  </w:num>
  <w:num w:numId="44">
    <w:abstractNumId w:val="17"/>
  </w:num>
  <w:num w:numId="45">
    <w:abstractNumId w:val="30"/>
  </w:num>
  <w:num w:numId="46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tru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1"/>
    <w:rsid w:val="000008C1"/>
    <w:rsid w:val="000063AF"/>
    <w:rsid w:val="000067CB"/>
    <w:rsid w:val="000118F9"/>
    <w:rsid w:val="000200FE"/>
    <w:rsid w:val="0002491F"/>
    <w:rsid w:val="000257EE"/>
    <w:rsid w:val="00030E43"/>
    <w:rsid w:val="00032C88"/>
    <w:rsid w:val="00045421"/>
    <w:rsid w:val="00045F55"/>
    <w:rsid w:val="00046C75"/>
    <w:rsid w:val="00050786"/>
    <w:rsid w:val="00065E46"/>
    <w:rsid w:val="0007598A"/>
    <w:rsid w:val="000763D2"/>
    <w:rsid w:val="00077BD1"/>
    <w:rsid w:val="00096965"/>
    <w:rsid w:val="000A747E"/>
    <w:rsid w:val="000B6312"/>
    <w:rsid w:val="000C129C"/>
    <w:rsid w:val="000C6890"/>
    <w:rsid w:val="000C755F"/>
    <w:rsid w:val="000E1A16"/>
    <w:rsid w:val="000F3A69"/>
    <w:rsid w:val="001009CC"/>
    <w:rsid w:val="00103CAC"/>
    <w:rsid w:val="0010423E"/>
    <w:rsid w:val="00106C96"/>
    <w:rsid w:val="00112466"/>
    <w:rsid w:val="00115B28"/>
    <w:rsid w:val="00117153"/>
    <w:rsid w:val="0011780F"/>
    <w:rsid w:val="001246F8"/>
    <w:rsid w:val="00125896"/>
    <w:rsid w:val="001452BB"/>
    <w:rsid w:val="00160937"/>
    <w:rsid w:val="00162D63"/>
    <w:rsid w:val="00163989"/>
    <w:rsid w:val="00167E96"/>
    <w:rsid w:val="00172EFE"/>
    <w:rsid w:val="00183E17"/>
    <w:rsid w:val="00191E65"/>
    <w:rsid w:val="00195169"/>
    <w:rsid w:val="001A0BF9"/>
    <w:rsid w:val="001A1DF3"/>
    <w:rsid w:val="001A2189"/>
    <w:rsid w:val="001A7F83"/>
    <w:rsid w:val="001B1146"/>
    <w:rsid w:val="001B4AB8"/>
    <w:rsid w:val="001C0616"/>
    <w:rsid w:val="001C189C"/>
    <w:rsid w:val="001C2658"/>
    <w:rsid w:val="001C51E5"/>
    <w:rsid w:val="001D4B0B"/>
    <w:rsid w:val="001E2136"/>
    <w:rsid w:val="001E25FA"/>
    <w:rsid w:val="001E4E71"/>
    <w:rsid w:val="0020085B"/>
    <w:rsid w:val="00203AE8"/>
    <w:rsid w:val="0022248E"/>
    <w:rsid w:val="00224B22"/>
    <w:rsid w:val="0022559B"/>
    <w:rsid w:val="0023461D"/>
    <w:rsid w:val="00237FD5"/>
    <w:rsid w:val="00243A59"/>
    <w:rsid w:val="00244682"/>
    <w:rsid w:val="00246534"/>
    <w:rsid w:val="00246FDC"/>
    <w:rsid w:val="002533B0"/>
    <w:rsid w:val="00263223"/>
    <w:rsid w:val="0026435D"/>
    <w:rsid w:val="002728AB"/>
    <w:rsid w:val="00276587"/>
    <w:rsid w:val="0028295C"/>
    <w:rsid w:val="00290102"/>
    <w:rsid w:val="00292BFC"/>
    <w:rsid w:val="002933CB"/>
    <w:rsid w:val="00295BF5"/>
    <w:rsid w:val="0029706E"/>
    <w:rsid w:val="002A2A15"/>
    <w:rsid w:val="002A6E4A"/>
    <w:rsid w:val="002B0439"/>
    <w:rsid w:val="002B74DE"/>
    <w:rsid w:val="002C28BC"/>
    <w:rsid w:val="002C2D4F"/>
    <w:rsid w:val="002D694A"/>
    <w:rsid w:val="002D6CEC"/>
    <w:rsid w:val="002E633E"/>
    <w:rsid w:val="002F77E7"/>
    <w:rsid w:val="00304CBF"/>
    <w:rsid w:val="0030708F"/>
    <w:rsid w:val="003110AD"/>
    <w:rsid w:val="00315E07"/>
    <w:rsid w:val="00320FCC"/>
    <w:rsid w:val="003233C4"/>
    <w:rsid w:val="00323BAB"/>
    <w:rsid w:val="00332262"/>
    <w:rsid w:val="003351AF"/>
    <w:rsid w:val="0033521C"/>
    <w:rsid w:val="00336753"/>
    <w:rsid w:val="003435F8"/>
    <w:rsid w:val="00346FA0"/>
    <w:rsid w:val="00351CFD"/>
    <w:rsid w:val="00352F4A"/>
    <w:rsid w:val="00356A4D"/>
    <w:rsid w:val="00360903"/>
    <w:rsid w:val="00362199"/>
    <w:rsid w:val="00365EDA"/>
    <w:rsid w:val="0038509D"/>
    <w:rsid w:val="003936F1"/>
    <w:rsid w:val="003A74DF"/>
    <w:rsid w:val="003B6FE1"/>
    <w:rsid w:val="003B7972"/>
    <w:rsid w:val="003C2EA0"/>
    <w:rsid w:val="003C5FD0"/>
    <w:rsid w:val="003C7F37"/>
    <w:rsid w:val="003E013D"/>
    <w:rsid w:val="003E0B52"/>
    <w:rsid w:val="003F237A"/>
    <w:rsid w:val="003F311F"/>
    <w:rsid w:val="003F4243"/>
    <w:rsid w:val="00402D9E"/>
    <w:rsid w:val="0040341C"/>
    <w:rsid w:val="00406526"/>
    <w:rsid w:val="004179E5"/>
    <w:rsid w:val="004212C3"/>
    <w:rsid w:val="00425B86"/>
    <w:rsid w:val="00430958"/>
    <w:rsid w:val="004313E9"/>
    <w:rsid w:val="00433E5F"/>
    <w:rsid w:val="00434D1B"/>
    <w:rsid w:val="0044335B"/>
    <w:rsid w:val="00443DC2"/>
    <w:rsid w:val="00453E13"/>
    <w:rsid w:val="004608FF"/>
    <w:rsid w:val="00465883"/>
    <w:rsid w:val="004669B2"/>
    <w:rsid w:val="004821D6"/>
    <w:rsid w:val="00487757"/>
    <w:rsid w:val="00493F16"/>
    <w:rsid w:val="004977A5"/>
    <w:rsid w:val="004A00C9"/>
    <w:rsid w:val="004A3B63"/>
    <w:rsid w:val="004B10A5"/>
    <w:rsid w:val="004B31C6"/>
    <w:rsid w:val="004B5608"/>
    <w:rsid w:val="004C2996"/>
    <w:rsid w:val="004C4913"/>
    <w:rsid w:val="004C4DE5"/>
    <w:rsid w:val="004C5581"/>
    <w:rsid w:val="004D0697"/>
    <w:rsid w:val="004D2DB9"/>
    <w:rsid w:val="004D4A98"/>
    <w:rsid w:val="004E1954"/>
    <w:rsid w:val="004E3326"/>
    <w:rsid w:val="004F1A51"/>
    <w:rsid w:val="00500E98"/>
    <w:rsid w:val="00510408"/>
    <w:rsid w:val="00512BEC"/>
    <w:rsid w:val="00515FF1"/>
    <w:rsid w:val="00532D2B"/>
    <w:rsid w:val="0054257E"/>
    <w:rsid w:val="0054277E"/>
    <w:rsid w:val="005509F0"/>
    <w:rsid w:val="00551E19"/>
    <w:rsid w:val="00557445"/>
    <w:rsid w:val="00580C52"/>
    <w:rsid w:val="00587385"/>
    <w:rsid w:val="0059302C"/>
    <w:rsid w:val="005A2539"/>
    <w:rsid w:val="005A3455"/>
    <w:rsid w:val="005B0DFD"/>
    <w:rsid w:val="005B23E3"/>
    <w:rsid w:val="005C2211"/>
    <w:rsid w:val="005F0AE4"/>
    <w:rsid w:val="005F0EDB"/>
    <w:rsid w:val="0060033C"/>
    <w:rsid w:val="00603A51"/>
    <w:rsid w:val="00615579"/>
    <w:rsid w:val="00620FBA"/>
    <w:rsid w:val="00626032"/>
    <w:rsid w:val="00630CB6"/>
    <w:rsid w:val="00632909"/>
    <w:rsid w:val="0063358C"/>
    <w:rsid w:val="0063381B"/>
    <w:rsid w:val="00635531"/>
    <w:rsid w:val="00636A51"/>
    <w:rsid w:val="00644DF0"/>
    <w:rsid w:val="006458A5"/>
    <w:rsid w:val="00645D60"/>
    <w:rsid w:val="00651AC3"/>
    <w:rsid w:val="00651FF3"/>
    <w:rsid w:val="00653410"/>
    <w:rsid w:val="00660C51"/>
    <w:rsid w:val="00661DE6"/>
    <w:rsid w:val="00665B11"/>
    <w:rsid w:val="00671731"/>
    <w:rsid w:val="0069313B"/>
    <w:rsid w:val="006A1138"/>
    <w:rsid w:val="006A2A11"/>
    <w:rsid w:val="006B3206"/>
    <w:rsid w:val="006B3452"/>
    <w:rsid w:val="006B6682"/>
    <w:rsid w:val="006B72C7"/>
    <w:rsid w:val="006C2217"/>
    <w:rsid w:val="006C2976"/>
    <w:rsid w:val="006C436C"/>
    <w:rsid w:val="006C4604"/>
    <w:rsid w:val="006C66FC"/>
    <w:rsid w:val="006D03BF"/>
    <w:rsid w:val="006E396F"/>
    <w:rsid w:val="006E5110"/>
    <w:rsid w:val="006F3366"/>
    <w:rsid w:val="006F3686"/>
    <w:rsid w:val="006F55EA"/>
    <w:rsid w:val="00701AB9"/>
    <w:rsid w:val="00711A37"/>
    <w:rsid w:val="00713357"/>
    <w:rsid w:val="00716706"/>
    <w:rsid w:val="00720658"/>
    <w:rsid w:val="00730208"/>
    <w:rsid w:val="00734485"/>
    <w:rsid w:val="007440CF"/>
    <w:rsid w:val="00746B5A"/>
    <w:rsid w:val="00753398"/>
    <w:rsid w:val="00756CF0"/>
    <w:rsid w:val="00756E0E"/>
    <w:rsid w:val="00760B3E"/>
    <w:rsid w:val="00760C92"/>
    <w:rsid w:val="007629CD"/>
    <w:rsid w:val="00773E13"/>
    <w:rsid w:val="0077538E"/>
    <w:rsid w:val="00780C51"/>
    <w:rsid w:val="007810AF"/>
    <w:rsid w:val="0078206E"/>
    <w:rsid w:val="007876BF"/>
    <w:rsid w:val="00787EAB"/>
    <w:rsid w:val="00793DD9"/>
    <w:rsid w:val="007943E8"/>
    <w:rsid w:val="007A2AE0"/>
    <w:rsid w:val="007A3841"/>
    <w:rsid w:val="007B0F63"/>
    <w:rsid w:val="007B1598"/>
    <w:rsid w:val="007B2D7F"/>
    <w:rsid w:val="007B5236"/>
    <w:rsid w:val="007C1330"/>
    <w:rsid w:val="007D182D"/>
    <w:rsid w:val="007D7EE3"/>
    <w:rsid w:val="0081468A"/>
    <w:rsid w:val="00823772"/>
    <w:rsid w:val="0082577B"/>
    <w:rsid w:val="008457DB"/>
    <w:rsid w:val="00846A41"/>
    <w:rsid w:val="00854046"/>
    <w:rsid w:val="00855658"/>
    <w:rsid w:val="00855C88"/>
    <w:rsid w:val="008617F7"/>
    <w:rsid w:val="008903E6"/>
    <w:rsid w:val="008A3A78"/>
    <w:rsid w:val="008B3437"/>
    <w:rsid w:val="008B40B4"/>
    <w:rsid w:val="008B56A2"/>
    <w:rsid w:val="008B5CEE"/>
    <w:rsid w:val="008C2B16"/>
    <w:rsid w:val="008C3DA5"/>
    <w:rsid w:val="008C5EBA"/>
    <w:rsid w:val="008D2930"/>
    <w:rsid w:val="008D40FC"/>
    <w:rsid w:val="008D47AD"/>
    <w:rsid w:val="008D55FA"/>
    <w:rsid w:val="008E300E"/>
    <w:rsid w:val="008E674F"/>
    <w:rsid w:val="008F69F5"/>
    <w:rsid w:val="00906869"/>
    <w:rsid w:val="00906DB8"/>
    <w:rsid w:val="00913D10"/>
    <w:rsid w:val="0091488D"/>
    <w:rsid w:val="009251AE"/>
    <w:rsid w:val="00925EE7"/>
    <w:rsid w:val="00926710"/>
    <w:rsid w:val="00932589"/>
    <w:rsid w:val="00946505"/>
    <w:rsid w:val="0094675A"/>
    <w:rsid w:val="009555F5"/>
    <w:rsid w:val="00957455"/>
    <w:rsid w:val="0096403C"/>
    <w:rsid w:val="009646CE"/>
    <w:rsid w:val="0096507A"/>
    <w:rsid w:val="0097083B"/>
    <w:rsid w:val="00974CEF"/>
    <w:rsid w:val="00980754"/>
    <w:rsid w:val="00980E99"/>
    <w:rsid w:val="009959D3"/>
    <w:rsid w:val="009A36C2"/>
    <w:rsid w:val="009B040B"/>
    <w:rsid w:val="009B6D49"/>
    <w:rsid w:val="009C5109"/>
    <w:rsid w:val="009C5730"/>
    <w:rsid w:val="009D32A6"/>
    <w:rsid w:val="009D3564"/>
    <w:rsid w:val="009D5A15"/>
    <w:rsid w:val="009E409A"/>
    <w:rsid w:val="009E760E"/>
    <w:rsid w:val="009F1128"/>
    <w:rsid w:val="00A030B1"/>
    <w:rsid w:val="00A04366"/>
    <w:rsid w:val="00A17755"/>
    <w:rsid w:val="00A17EFE"/>
    <w:rsid w:val="00A2081E"/>
    <w:rsid w:val="00A211B8"/>
    <w:rsid w:val="00A3134D"/>
    <w:rsid w:val="00A3178C"/>
    <w:rsid w:val="00A32208"/>
    <w:rsid w:val="00A33C96"/>
    <w:rsid w:val="00A41961"/>
    <w:rsid w:val="00A53EA0"/>
    <w:rsid w:val="00A7160A"/>
    <w:rsid w:val="00A76B28"/>
    <w:rsid w:val="00A81777"/>
    <w:rsid w:val="00A87506"/>
    <w:rsid w:val="00AA2A95"/>
    <w:rsid w:val="00AA71FA"/>
    <w:rsid w:val="00AB431E"/>
    <w:rsid w:val="00AC4C62"/>
    <w:rsid w:val="00AC6346"/>
    <w:rsid w:val="00AD573D"/>
    <w:rsid w:val="00AD679A"/>
    <w:rsid w:val="00AD7475"/>
    <w:rsid w:val="00AE0250"/>
    <w:rsid w:val="00AE2625"/>
    <w:rsid w:val="00AE3CBD"/>
    <w:rsid w:val="00AF4449"/>
    <w:rsid w:val="00AF5001"/>
    <w:rsid w:val="00B009EB"/>
    <w:rsid w:val="00B03EE7"/>
    <w:rsid w:val="00B059DD"/>
    <w:rsid w:val="00B14662"/>
    <w:rsid w:val="00B15E81"/>
    <w:rsid w:val="00B16440"/>
    <w:rsid w:val="00B200D0"/>
    <w:rsid w:val="00B251C1"/>
    <w:rsid w:val="00B25B4A"/>
    <w:rsid w:val="00B25DA8"/>
    <w:rsid w:val="00B3364B"/>
    <w:rsid w:val="00B34638"/>
    <w:rsid w:val="00B405C1"/>
    <w:rsid w:val="00B424D4"/>
    <w:rsid w:val="00B44A39"/>
    <w:rsid w:val="00B45E83"/>
    <w:rsid w:val="00B52623"/>
    <w:rsid w:val="00B53C72"/>
    <w:rsid w:val="00B613D1"/>
    <w:rsid w:val="00B63AB7"/>
    <w:rsid w:val="00B63F34"/>
    <w:rsid w:val="00B708D8"/>
    <w:rsid w:val="00B804FF"/>
    <w:rsid w:val="00B80A27"/>
    <w:rsid w:val="00B877ED"/>
    <w:rsid w:val="00BA4989"/>
    <w:rsid w:val="00BB2F68"/>
    <w:rsid w:val="00BB5E76"/>
    <w:rsid w:val="00BB650E"/>
    <w:rsid w:val="00BC63F2"/>
    <w:rsid w:val="00BD4AE8"/>
    <w:rsid w:val="00BD63EC"/>
    <w:rsid w:val="00BE1DFC"/>
    <w:rsid w:val="00BE6D87"/>
    <w:rsid w:val="00BF3905"/>
    <w:rsid w:val="00BF4543"/>
    <w:rsid w:val="00BF45BA"/>
    <w:rsid w:val="00C001BA"/>
    <w:rsid w:val="00C0062E"/>
    <w:rsid w:val="00C135F9"/>
    <w:rsid w:val="00C171FA"/>
    <w:rsid w:val="00C17D72"/>
    <w:rsid w:val="00C24C45"/>
    <w:rsid w:val="00C32332"/>
    <w:rsid w:val="00C33F99"/>
    <w:rsid w:val="00C371DE"/>
    <w:rsid w:val="00C4055D"/>
    <w:rsid w:val="00C4501C"/>
    <w:rsid w:val="00C5044E"/>
    <w:rsid w:val="00C52D34"/>
    <w:rsid w:val="00C549CC"/>
    <w:rsid w:val="00C56301"/>
    <w:rsid w:val="00C70141"/>
    <w:rsid w:val="00C701F3"/>
    <w:rsid w:val="00C776DB"/>
    <w:rsid w:val="00C925A5"/>
    <w:rsid w:val="00CA3D8B"/>
    <w:rsid w:val="00CB43B1"/>
    <w:rsid w:val="00CC0193"/>
    <w:rsid w:val="00CC0FFD"/>
    <w:rsid w:val="00CD076C"/>
    <w:rsid w:val="00CD7CB0"/>
    <w:rsid w:val="00CE29F7"/>
    <w:rsid w:val="00CE6BA7"/>
    <w:rsid w:val="00CF1656"/>
    <w:rsid w:val="00D01C3E"/>
    <w:rsid w:val="00D0400D"/>
    <w:rsid w:val="00D06838"/>
    <w:rsid w:val="00D12321"/>
    <w:rsid w:val="00D1287A"/>
    <w:rsid w:val="00D13786"/>
    <w:rsid w:val="00D13BD2"/>
    <w:rsid w:val="00D47BB2"/>
    <w:rsid w:val="00D72B3C"/>
    <w:rsid w:val="00D74CD8"/>
    <w:rsid w:val="00D76601"/>
    <w:rsid w:val="00D90B6F"/>
    <w:rsid w:val="00DA018D"/>
    <w:rsid w:val="00DA62B4"/>
    <w:rsid w:val="00DB0BD0"/>
    <w:rsid w:val="00DB1C4C"/>
    <w:rsid w:val="00DC2054"/>
    <w:rsid w:val="00DC7A21"/>
    <w:rsid w:val="00DE1EF7"/>
    <w:rsid w:val="00DE2683"/>
    <w:rsid w:val="00DE5ED7"/>
    <w:rsid w:val="00DE610E"/>
    <w:rsid w:val="00DE78E8"/>
    <w:rsid w:val="00DF04BD"/>
    <w:rsid w:val="00DF4299"/>
    <w:rsid w:val="00DF7632"/>
    <w:rsid w:val="00E132B0"/>
    <w:rsid w:val="00E14290"/>
    <w:rsid w:val="00E14A55"/>
    <w:rsid w:val="00E14A9B"/>
    <w:rsid w:val="00E32452"/>
    <w:rsid w:val="00E42069"/>
    <w:rsid w:val="00E42DB8"/>
    <w:rsid w:val="00E45D70"/>
    <w:rsid w:val="00E61828"/>
    <w:rsid w:val="00E671F4"/>
    <w:rsid w:val="00E71429"/>
    <w:rsid w:val="00E73680"/>
    <w:rsid w:val="00E74B81"/>
    <w:rsid w:val="00E75B3F"/>
    <w:rsid w:val="00E76190"/>
    <w:rsid w:val="00E8099C"/>
    <w:rsid w:val="00E81C4F"/>
    <w:rsid w:val="00EA1CC0"/>
    <w:rsid w:val="00EA7A21"/>
    <w:rsid w:val="00EB6EA3"/>
    <w:rsid w:val="00ED097D"/>
    <w:rsid w:val="00ED12C2"/>
    <w:rsid w:val="00ED31BB"/>
    <w:rsid w:val="00EE2227"/>
    <w:rsid w:val="00EF576C"/>
    <w:rsid w:val="00EF6CFA"/>
    <w:rsid w:val="00EF78D5"/>
    <w:rsid w:val="00F01E16"/>
    <w:rsid w:val="00F0298A"/>
    <w:rsid w:val="00F07179"/>
    <w:rsid w:val="00F116F5"/>
    <w:rsid w:val="00F11871"/>
    <w:rsid w:val="00F156D2"/>
    <w:rsid w:val="00F302CD"/>
    <w:rsid w:val="00F332FA"/>
    <w:rsid w:val="00F35C24"/>
    <w:rsid w:val="00F41DB1"/>
    <w:rsid w:val="00F50B29"/>
    <w:rsid w:val="00F55509"/>
    <w:rsid w:val="00F570BE"/>
    <w:rsid w:val="00F61604"/>
    <w:rsid w:val="00F6417E"/>
    <w:rsid w:val="00F72FEA"/>
    <w:rsid w:val="00F7358C"/>
    <w:rsid w:val="00F74A7B"/>
    <w:rsid w:val="00F774E3"/>
    <w:rsid w:val="00F8290D"/>
    <w:rsid w:val="00F85E93"/>
    <w:rsid w:val="00FA03DD"/>
    <w:rsid w:val="00FA0B37"/>
    <w:rsid w:val="00FA65A4"/>
    <w:rsid w:val="00FA7832"/>
    <w:rsid w:val="00FC014E"/>
    <w:rsid w:val="00FC038F"/>
    <w:rsid w:val="00FC0D6D"/>
    <w:rsid w:val="00FC35E9"/>
    <w:rsid w:val="00FD6448"/>
    <w:rsid w:val="00FE2687"/>
    <w:rsid w:val="00FE26B6"/>
    <w:rsid w:val="00FE3492"/>
    <w:rsid w:val="00FF1CA8"/>
    <w:rsid w:val="0293259F"/>
    <w:rsid w:val="02E20CEA"/>
    <w:rsid w:val="039A07BF"/>
    <w:rsid w:val="0618071F"/>
    <w:rsid w:val="062CF071"/>
    <w:rsid w:val="087E867F"/>
    <w:rsid w:val="08B32B51"/>
    <w:rsid w:val="0921F40F"/>
    <w:rsid w:val="09E77EF5"/>
    <w:rsid w:val="0B6DE59F"/>
    <w:rsid w:val="0C5F7CED"/>
    <w:rsid w:val="0CFF07DE"/>
    <w:rsid w:val="0D7F099D"/>
    <w:rsid w:val="0DFB8B4D"/>
    <w:rsid w:val="0FF44B0F"/>
    <w:rsid w:val="1019516E"/>
    <w:rsid w:val="10A1CC3D"/>
    <w:rsid w:val="15866247"/>
    <w:rsid w:val="15CC5555"/>
    <w:rsid w:val="16474749"/>
    <w:rsid w:val="16ECDA3B"/>
    <w:rsid w:val="18A03E30"/>
    <w:rsid w:val="192440B6"/>
    <w:rsid w:val="1C145AD3"/>
    <w:rsid w:val="1C59F8EA"/>
    <w:rsid w:val="1CC87914"/>
    <w:rsid w:val="1D4F7295"/>
    <w:rsid w:val="1D592588"/>
    <w:rsid w:val="1DEBC93F"/>
    <w:rsid w:val="20969C9F"/>
    <w:rsid w:val="20FFC563"/>
    <w:rsid w:val="2172514C"/>
    <w:rsid w:val="228997CE"/>
    <w:rsid w:val="22C2D1CA"/>
    <w:rsid w:val="22EF37D4"/>
    <w:rsid w:val="2331CA68"/>
    <w:rsid w:val="235F1E21"/>
    <w:rsid w:val="243EEE09"/>
    <w:rsid w:val="24E123FF"/>
    <w:rsid w:val="26EC50FB"/>
    <w:rsid w:val="271AFD6A"/>
    <w:rsid w:val="28076D15"/>
    <w:rsid w:val="28A32F01"/>
    <w:rsid w:val="28E08899"/>
    <w:rsid w:val="2A44C03D"/>
    <w:rsid w:val="2AA0A273"/>
    <w:rsid w:val="2AF27FB0"/>
    <w:rsid w:val="2B86A8DA"/>
    <w:rsid w:val="2D340D90"/>
    <w:rsid w:val="2D79EE66"/>
    <w:rsid w:val="31265AB6"/>
    <w:rsid w:val="315845CE"/>
    <w:rsid w:val="319D42EB"/>
    <w:rsid w:val="325599F2"/>
    <w:rsid w:val="3273B1DA"/>
    <w:rsid w:val="34C19750"/>
    <w:rsid w:val="35AF5441"/>
    <w:rsid w:val="373A3EC7"/>
    <w:rsid w:val="377E30DB"/>
    <w:rsid w:val="38614E93"/>
    <w:rsid w:val="3A27970B"/>
    <w:rsid w:val="3B755943"/>
    <w:rsid w:val="3BF61CCD"/>
    <w:rsid w:val="3C72B0FC"/>
    <w:rsid w:val="3C76195F"/>
    <w:rsid w:val="3D049619"/>
    <w:rsid w:val="3D6E04E0"/>
    <w:rsid w:val="3D95D517"/>
    <w:rsid w:val="3EA39CE0"/>
    <w:rsid w:val="3F9962DE"/>
    <w:rsid w:val="40CAE386"/>
    <w:rsid w:val="41047162"/>
    <w:rsid w:val="42731A3B"/>
    <w:rsid w:val="441FE5BA"/>
    <w:rsid w:val="450388BB"/>
    <w:rsid w:val="45C93C55"/>
    <w:rsid w:val="45E97DE6"/>
    <w:rsid w:val="46001A11"/>
    <w:rsid w:val="462EFA3F"/>
    <w:rsid w:val="46DE79B2"/>
    <w:rsid w:val="46EC4169"/>
    <w:rsid w:val="46F5A8DA"/>
    <w:rsid w:val="478EBB23"/>
    <w:rsid w:val="479C8B9B"/>
    <w:rsid w:val="47AE1FA3"/>
    <w:rsid w:val="47EF0275"/>
    <w:rsid w:val="4947C23B"/>
    <w:rsid w:val="4A1CBC18"/>
    <w:rsid w:val="4B28C612"/>
    <w:rsid w:val="4BC5298D"/>
    <w:rsid w:val="4D4536E7"/>
    <w:rsid w:val="4DE31BA8"/>
    <w:rsid w:val="4E269FC3"/>
    <w:rsid w:val="4EED199C"/>
    <w:rsid w:val="4F197E25"/>
    <w:rsid w:val="4FCDEFAE"/>
    <w:rsid w:val="4FD6C279"/>
    <w:rsid w:val="51F157A2"/>
    <w:rsid w:val="5283E6C3"/>
    <w:rsid w:val="52A32D60"/>
    <w:rsid w:val="54956258"/>
    <w:rsid w:val="56C46DE8"/>
    <w:rsid w:val="57B7CC34"/>
    <w:rsid w:val="57CE8F14"/>
    <w:rsid w:val="5877441D"/>
    <w:rsid w:val="58BB12D8"/>
    <w:rsid w:val="595346B3"/>
    <w:rsid w:val="5A3A152D"/>
    <w:rsid w:val="5A5190A9"/>
    <w:rsid w:val="5A576B6F"/>
    <w:rsid w:val="5A932482"/>
    <w:rsid w:val="5AB8839A"/>
    <w:rsid w:val="5DAA3BE8"/>
    <w:rsid w:val="5F22D438"/>
    <w:rsid w:val="60682ABF"/>
    <w:rsid w:val="6169E9FF"/>
    <w:rsid w:val="62729882"/>
    <w:rsid w:val="63A64C1F"/>
    <w:rsid w:val="63E84C86"/>
    <w:rsid w:val="647D26DF"/>
    <w:rsid w:val="65C6E8C7"/>
    <w:rsid w:val="6698AE93"/>
    <w:rsid w:val="66F82F08"/>
    <w:rsid w:val="67DDFBE5"/>
    <w:rsid w:val="681B6128"/>
    <w:rsid w:val="6882AC46"/>
    <w:rsid w:val="6898E354"/>
    <w:rsid w:val="68FA2A92"/>
    <w:rsid w:val="69C44503"/>
    <w:rsid w:val="6A84410F"/>
    <w:rsid w:val="6AAEB0C0"/>
    <w:rsid w:val="6BBEEABD"/>
    <w:rsid w:val="6CEB9099"/>
    <w:rsid w:val="6D0742A4"/>
    <w:rsid w:val="6D582448"/>
    <w:rsid w:val="6DC28999"/>
    <w:rsid w:val="6EDEF253"/>
    <w:rsid w:val="6EFC6E14"/>
    <w:rsid w:val="6F0DB47E"/>
    <w:rsid w:val="70523554"/>
    <w:rsid w:val="72A548EB"/>
    <w:rsid w:val="736A25E0"/>
    <w:rsid w:val="7414717F"/>
    <w:rsid w:val="74CF5D0B"/>
    <w:rsid w:val="75CD00AA"/>
    <w:rsid w:val="7673C79D"/>
    <w:rsid w:val="768A9784"/>
    <w:rsid w:val="76A4DA94"/>
    <w:rsid w:val="76B26DCF"/>
    <w:rsid w:val="772EB471"/>
    <w:rsid w:val="7745A9AE"/>
    <w:rsid w:val="78DE34EF"/>
    <w:rsid w:val="78E639C8"/>
    <w:rsid w:val="79C3E316"/>
    <w:rsid w:val="79FAFEAD"/>
    <w:rsid w:val="7B8C9E5A"/>
    <w:rsid w:val="7DE39DD3"/>
    <w:rsid w:val="7F20C345"/>
    <w:rsid w:val="7FD1755C"/>
    <w:rsid w:val="7FD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5EFFA5"/>
  <w15:chartTrackingRefBased/>
  <w15:docId w15:val="{D0263D19-520D-4BBE-8607-23D6E01C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7A"/>
    <w:pPr>
      <w:ind w:left="720"/>
      <w:contextualSpacing/>
    </w:pPr>
  </w:style>
  <w:style w:type="table" w:styleId="TableGrid">
    <w:name w:val="Table Grid"/>
    <w:basedOn w:val="TableNormal"/>
    <w:uiPriority w:val="39"/>
    <w:rsid w:val="00D128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1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0A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81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0A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10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810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5B11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B1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B2D7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2D7F"/>
  </w:style>
  <w:style w:type="paragraph" w:styleId="Footer">
    <w:name w:val="footer"/>
    <w:basedOn w:val="Normal"/>
    <w:link w:val="FooterChar"/>
    <w:uiPriority w:val="99"/>
    <w:unhideWhenUsed/>
    <w:rsid w:val="007B2D7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2D7F"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C2B16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character" w:styleId="textrun" w:customStyle="1">
    <w:name w:val="textrun"/>
    <w:basedOn w:val="DefaultParagraphFont"/>
    <w:rsid w:val="00315E07"/>
  </w:style>
  <w:style w:type="character" w:styleId="normaltextrun" w:customStyle="1">
    <w:name w:val="normaltextrun"/>
    <w:basedOn w:val="DefaultParagraphFont"/>
    <w:rsid w:val="00315E07"/>
  </w:style>
  <w:style w:type="character" w:styleId="eop" w:customStyle="1">
    <w:name w:val="eop"/>
    <w:basedOn w:val="DefaultParagraphFont"/>
    <w:rsid w:val="00315E07"/>
  </w:style>
  <w:style w:type="paragraph" w:styleId="paragraph" w:customStyle="1">
    <w:name w:val="paragraph"/>
    <w:basedOn w:val="Normal"/>
    <w:rsid w:val="00B25B4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30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0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12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2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/word/glossary/document.xml" Id="R6edb8def59e7475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4040-27fa-40be-9f75-768a336cd9b0}"/>
      </w:docPartPr>
      <w:docPartBody>
        <w:p w14:paraId="2B38C9B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DAF4C05A6B14F8AEE3DE5627A61B7" ma:contentTypeVersion="12" ma:contentTypeDescription="Create a new document." ma:contentTypeScope="" ma:versionID="e93a4ddacdf14313a3f95b7861991c51">
  <xsd:schema xmlns:xsd="http://www.w3.org/2001/XMLSchema" xmlns:xs="http://www.w3.org/2001/XMLSchema" xmlns:p="http://schemas.microsoft.com/office/2006/metadata/properties" xmlns:ns2="51d7a882-6fd7-4b78-9a2b-8f6db2985b20" xmlns:ns3="639c5d0a-c99a-40f9-b643-16c7580abe25" targetNamespace="http://schemas.microsoft.com/office/2006/metadata/properties" ma:root="true" ma:fieldsID="31d18097452df3f10fb914371bafc3e8" ns2:_="" ns3:_="">
    <xsd:import namespace="51d7a882-6fd7-4b78-9a2b-8f6db2985b20"/>
    <xsd:import namespace="639c5d0a-c99a-40f9-b643-16c7580ab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7a882-6fd7-4b78-9a2b-8f6db2985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5d0a-c99a-40f9-b643-16c7580ab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66B28-8AF6-4255-A11B-C1FC25A7D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C8ADD8-55DE-9640-B35F-BCEC1310B6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3AA480-EBE3-4C9F-81BA-90AD8ABB5E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45075F-80B3-4B4C-A72B-A4A817C423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GABRIELLI, Albis Francesco</dc:creator>
  <cp:keywords/>
  <dc:description/>
  <cp:lastModifiedBy>Philip Downs</cp:lastModifiedBy>
  <cp:revision>3</cp:revision>
  <cp:lastPrinted>2020-06-05T10:56:00Z</cp:lastPrinted>
  <dcterms:created xsi:type="dcterms:W3CDTF">2020-12-12T02:14:00Z</dcterms:created>
  <dcterms:modified xsi:type="dcterms:W3CDTF">2021-06-10T19:58:27Z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0x010100483DAF4C05A6B14F8AEE3DE5627A61B7</vt:lpwstr>
  </property>
</Properties>
</file>